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0A" w:rsidRDefault="007F120A" w:rsidP="00A267EF">
      <w:pPr>
        <w:pStyle w:val="tytuinformacji"/>
        <w:spacing w:after="240"/>
        <w:rPr>
          <w:bCs/>
          <w:shd w:val="clear" w:color="auto" w:fill="FFFFFF"/>
          <w:lang w:val="en-GB"/>
        </w:rPr>
      </w:pPr>
      <w:r w:rsidRPr="007F120A">
        <w:rPr>
          <w:bCs/>
          <w:shd w:val="clear" w:color="auto" w:fill="FFFFFF"/>
          <w:lang w:val="en-GB"/>
        </w:rPr>
        <w:t xml:space="preserve">Accommodation establishments as of 31 July 2020 and their occupancy in the first half of 2020 </w:t>
      </w:r>
    </w:p>
    <w:p w:rsidR="00A267EF" w:rsidRPr="00C818A9" w:rsidRDefault="00A267EF" w:rsidP="00A267EF">
      <w:pPr>
        <w:pStyle w:val="tytuinformacji"/>
        <w:spacing w:after="240"/>
        <w:rPr>
          <w:sz w:val="20"/>
          <w:szCs w:val="20"/>
          <w:shd w:val="clear" w:color="auto" w:fill="FFFFFF"/>
          <w:lang w:val="en-GB"/>
        </w:rPr>
      </w:pPr>
      <w:r w:rsidRPr="00C818A9">
        <w:rPr>
          <w:sz w:val="20"/>
          <w:szCs w:val="20"/>
          <w:shd w:val="clear" w:color="auto" w:fill="FFFFFF"/>
          <w:lang w:val="en-GB"/>
        </w:rPr>
        <w:t>(</w:t>
      </w:r>
      <w:r w:rsidRPr="001E6C84">
        <w:rPr>
          <w:sz w:val="20"/>
          <w:szCs w:val="20"/>
          <w:shd w:val="clear" w:color="auto" w:fill="FFFFFF"/>
          <w:lang w:val="en-GB"/>
        </w:rPr>
        <w:t>concerns tourist accommodation establishments with 10 or more bed places</w:t>
      </w:r>
      <w:r w:rsidRPr="00C818A9">
        <w:rPr>
          <w:sz w:val="20"/>
          <w:szCs w:val="20"/>
          <w:shd w:val="clear" w:color="auto" w:fill="FFFFFF"/>
          <w:lang w:val="en-GB"/>
        </w:rPr>
        <w:t>)</w:t>
      </w:r>
    </w:p>
    <w:p w:rsidR="00A267EF" w:rsidRPr="003D0CB0" w:rsidRDefault="00A267EF" w:rsidP="00A267EF">
      <w:pPr>
        <w:pStyle w:val="LID"/>
        <w:spacing w:after="240"/>
        <w:rPr>
          <w:lang w:val="en-GB"/>
        </w:rPr>
      </w:pPr>
      <w:r w:rsidRPr="003D0CB0">
        <mc:AlternateContent>
          <mc:Choice Requires="wps">
            <w:drawing>
              <wp:anchor distT="45720" distB="45720" distL="114300" distR="114300" simplePos="0" relativeHeight="251737088" behindDoc="0" locked="0" layoutInCell="1" allowOverlap="1" wp14:anchorId="506FB536" wp14:editId="6887BE84">
                <wp:simplePos x="0" y="0"/>
                <wp:positionH relativeFrom="margin">
                  <wp:posOffset>11430</wp:posOffset>
                </wp:positionH>
                <wp:positionV relativeFrom="paragraph">
                  <wp:posOffset>19050</wp:posOffset>
                </wp:positionV>
                <wp:extent cx="2105025" cy="1398905"/>
                <wp:effectExtent l="0" t="0" r="9525"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98905"/>
                        </a:xfrm>
                        <a:prstGeom prst="rect">
                          <a:avLst/>
                        </a:prstGeom>
                        <a:solidFill>
                          <a:srgbClr val="001D77"/>
                        </a:solidFill>
                        <a:ln w="9525">
                          <a:noFill/>
                          <a:miter lim="800000"/>
                          <a:headEnd/>
                          <a:tailEnd/>
                        </a:ln>
                      </wps:spPr>
                      <wps:txbx>
                        <w:txbxContent>
                          <w:p w:rsidR="00026154" w:rsidRPr="00314B30" w:rsidRDefault="00A267EF" w:rsidP="00026154">
                            <w:pPr>
                              <w:spacing w:after="0" w:line="240" w:lineRule="auto"/>
                              <w:rPr>
                                <w:color w:val="FFFFFF" w:themeColor="background1"/>
                                <w:sz w:val="18"/>
                                <w:szCs w:val="20"/>
                                <w:lang w:val="en-GB"/>
                              </w:rPr>
                            </w:pPr>
                            <w:r>
                              <w:rPr>
                                <w:rFonts w:asciiTheme="minorHAnsi" w:hAnsiTheme="minorHAnsi"/>
                                <w:b/>
                                <w:noProof/>
                                <w:color w:val="001D77"/>
                                <w:sz w:val="22"/>
                                <w:lang w:eastAsia="pl-PL"/>
                              </w:rPr>
                              <w:drawing>
                                <wp:inline distT="0" distB="0" distL="0" distR="0" wp14:anchorId="526D0F07" wp14:editId="3CE64FF1">
                                  <wp:extent cx="333375" cy="3333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33375" cy="333375"/>
                                          </a:xfrm>
                                          <a:prstGeom prst="rect">
                                            <a:avLst/>
                                          </a:prstGeom>
                                          <a:noFill/>
                                          <a:ln>
                                            <a:noFill/>
                                          </a:ln>
                                        </pic:spPr>
                                      </pic:pic>
                                    </a:graphicData>
                                  </a:graphic>
                                </wp:inline>
                              </w:drawing>
                            </w:r>
                            <w:r w:rsidRPr="002A5863">
                              <w:rPr>
                                <w:color w:val="FFFFFF" w:themeColor="background1"/>
                                <w:sz w:val="18"/>
                                <w:szCs w:val="20"/>
                                <w:lang w:val="en-GB"/>
                              </w:rPr>
                              <w:tab/>
                            </w:r>
                            <w:r w:rsidR="007F120A" w:rsidRPr="007F120A">
                              <w:rPr>
                                <w:rFonts w:ascii="Fira Sans SemiBold" w:hAnsi="Fira Sans SemiBold"/>
                                <w:color w:val="FFFFFF" w:themeColor="background1"/>
                                <w:sz w:val="72"/>
                                <w:szCs w:val="72"/>
                                <w:lang w:val="en-GB"/>
                              </w:rPr>
                              <w:t>54.3%</w:t>
                            </w:r>
                          </w:p>
                          <w:p w:rsidR="00A267EF" w:rsidRPr="00C818A9" w:rsidRDefault="007F120A" w:rsidP="00026154">
                            <w:pPr>
                              <w:spacing w:after="0" w:line="240" w:lineRule="auto"/>
                              <w:rPr>
                                <w:color w:val="FFFFFF" w:themeColor="background1"/>
                                <w:sz w:val="18"/>
                                <w:szCs w:val="20"/>
                                <w:lang w:val="en-GB"/>
                              </w:rPr>
                            </w:pPr>
                            <w:r w:rsidRPr="007F120A">
                              <w:rPr>
                                <w:color w:val="FFFFFF" w:themeColor="background1"/>
                                <w:sz w:val="18"/>
                                <w:szCs w:val="20"/>
                                <w:lang w:val="en-GB"/>
                              </w:rPr>
                              <w:t>Decrease in the number of tourists in accommodation establishments in the first half of 2020 compared to the corresponding period last year</w:t>
                            </w:r>
                            <w:r>
                              <w:rPr>
                                <w:color w:val="FFFFFF" w:themeColor="background1"/>
                                <w:sz w:val="18"/>
                                <w:szCs w:val="20"/>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FB536" id="_x0000_t202" coordsize="21600,21600" o:spt="202" path="m,l,21600r21600,l21600,xe">
                <v:stroke joinstyle="miter"/>
                <v:path gradientshapeok="t" o:connecttype="rect"/>
              </v:shapetype>
              <v:shape id="Pole tekstowe 2" o:spid="_x0000_s1026" type="#_x0000_t202" style="position:absolute;margin-left:.9pt;margin-top:1.5pt;width:165.75pt;height:110.1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" fillcolor="#001d77" stroked="f">
                <v:textbox>
                  <w:txbxContent>
                    <w:p w:rsidR="00026154" w:rsidRPr="00314B30" w:rsidRDefault="00A267EF" w:rsidP="00026154">
                      <w:pPr>
                        <w:spacing w:after="0" w:line="240" w:lineRule="auto"/>
                        <w:rPr>
                          <w:color w:val="FFFFFF" w:themeColor="background1"/>
                          <w:sz w:val="18"/>
                          <w:szCs w:val="20"/>
                          <w:lang w:val="en-GB"/>
                        </w:rPr>
                      </w:pPr>
                      <w:r>
                        <w:rPr>
                          <w:rFonts w:asciiTheme="minorHAnsi" w:hAnsiTheme="minorHAnsi"/>
                          <w:b/>
                          <w:noProof/>
                          <w:color w:val="001D77"/>
                          <w:sz w:val="22"/>
                          <w:lang w:eastAsia="pl-PL"/>
                        </w:rPr>
                        <w:drawing>
                          <wp:inline distT="0" distB="0" distL="0" distR="0" wp14:anchorId="526D0F07" wp14:editId="3CE64FF1">
                            <wp:extent cx="333375" cy="3333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333375" cy="333375"/>
                                    </a:xfrm>
                                    <a:prstGeom prst="rect">
                                      <a:avLst/>
                                    </a:prstGeom>
                                    <a:noFill/>
                                    <a:ln>
                                      <a:noFill/>
                                    </a:ln>
                                  </pic:spPr>
                                </pic:pic>
                              </a:graphicData>
                            </a:graphic>
                          </wp:inline>
                        </w:drawing>
                      </w:r>
                      <w:r w:rsidRPr="002A5863">
                        <w:rPr>
                          <w:color w:val="FFFFFF" w:themeColor="background1"/>
                          <w:sz w:val="18"/>
                          <w:szCs w:val="20"/>
                          <w:lang w:val="en-GB"/>
                        </w:rPr>
                        <w:tab/>
                      </w:r>
                      <w:r w:rsidR="007F120A" w:rsidRPr="007F120A">
                        <w:rPr>
                          <w:rFonts w:ascii="Fira Sans SemiBold" w:hAnsi="Fira Sans SemiBold"/>
                          <w:color w:val="FFFFFF" w:themeColor="background1"/>
                          <w:sz w:val="72"/>
                          <w:szCs w:val="72"/>
                          <w:lang w:val="en-GB"/>
                        </w:rPr>
                        <w:t>54.3%</w:t>
                      </w:r>
                    </w:p>
                    <w:p w:rsidR="00A267EF" w:rsidRPr="00C818A9" w:rsidRDefault="007F120A" w:rsidP="00026154">
                      <w:pPr>
                        <w:spacing w:after="0" w:line="240" w:lineRule="auto"/>
                        <w:rPr>
                          <w:color w:val="FFFFFF" w:themeColor="background1"/>
                          <w:sz w:val="18"/>
                          <w:szCs w:val="20"/>
                          <w:lang w:val="en-GB"/>
                        </w:rPr>
                      </w:pPr>
                      <w:r w:rsidRPr="007F120A">
                        <w:rPr>
                          <w:color w:val="FFFFFF" w:themeColor="background1"/>
                          <w:sz w:val="18"/>
                          <w:szCs w:val="20"/>
                          <w:lang w:val="en-GB"/>
                        </w:rPr>
                        <w:t>Decrease in the number of tourists in accommodation establishments in the first half of 2020 compared to the corresponding period last year</w:t>
                      </w:r>
                      <w:r>
                        <w:rPr>
                          <w:color w:val="FFFFFF" w:themeColor="background1"/>
                          <w:sz w:val="18"/>
                          <w:szCs w:val="20"/>
                          <w:lang w:val="en-GB"/>
                        </w:rPr>
                        <w:t>.</w:t>
                      </w:r>
                    </w:p>
                  </w:txbxContent>
                </v:textbox>
                <w10:wrap type="square" anchorx="margin"/>
              </v:shape>
            </w:pict>
          </mc:Fallback>
        </mc:AlternateContent>
      </w:r>
      <w:r w:rsidR="007F120A" w:rsidRPr="007F120A">
        <w:rPr>
          <w:lang w:val="en-GB"/>
        </w:rPr>
        <w:t>In the first half of 2020, 7.3 million tourists were accommodated in tourist accommoda-tion establishments and 19.4 million overnight stays were provided for them. Compared to the same period 2019, this was lower by 54.3% and 51.5% respectively.  Compared to the first half of 2019, the occupancy rate of accommodation establishments also de-creased fro</w:t>
      </w:r>
      <w:bookmarkStart w:id="0" w:name="_GoBack"/>
      <w:bookmarkEnd w:id="0"/>
      <w:r w:rsidR="007F120A" w:rsidRPr="007F120A">
        <w:rPr>
          <w:lang w:val="en-GB"/>
        </w:rPr>
        <w:t>m 37.6% to 23.8</w:t>
      </w:r>
      <w:r w:rsidR="007F120A">
        <w:rPr>
          <w:lang w:val="en-GB"/>
        </w:rPr>
        <w:t>%</w:t>
      </w:r>
      <w:r w:rsidR="00026154" w:rsidRPr="00026154">
        <w:rPr>
          <w:lang w:val="en-GB"/>
        </w:rPr>
        <w:t>.</w:t>
      </w:r>
    </w:p>
    <w:p w:rsidR="007F120A" w:rsidRDefault="007F120A" w:rsidP="00026154">
      <w:pPr>
        <w:pStyle w:val="LID"/>
        <w:spacing w:before="0" w:after="60"/>
        <w:rPr>
          <w:b w:val="0"/>
          <w:lang w:val="en-GB"/>
        </w:rPr>
      </w:pPr>
    </w:p>
    <w:p w:rsidR="00283996" w:rsidRPr="00F55232" w:rsidRDefault="00283996" w:rsidP="00283996">
      <w:pPr>
        <w:pStyle w:val="LID"/>
        <w:spacing w:before="0" w:after="0"/>
        <w:rPr>
          <w:b w:val="0"/>
          <w:noProof w:val="0"/>
          <w:lang w:val="en-GB"/>
        </w:rPr>
      </w:pPr>
      <w:r w:rsidRPr="00F55232">
        <w:rPr>
          <w:b w:val="0"/>
          <w:noProof w:val="0"/>
          <w:lang w:val="en-GB"/>
        </w:rPr>
        <w:t>Tourism is one of the sectors directly affected by the COVID-19 pandemic. The restrictions on</w:t>
      </w:r>
      <w:r>
        <w:rPr>
          <w:b w:val="0"/>
          <w:noProof w:val="0"/>
          <w:lang w:val="en-GB"/>
        </w:rPr>
        <w:t> </w:t>
      </w:r>
      <w:r w:rsidRPr="00F55232">
        <w:rPr>
          <w:b w:val="0"/>
          <w:noProof w:val="0"/>
          <w:lang w:val="en-GB"/>
        </w:rPr>
        <w:t>the movement of people introduced in Poland in mid-March this year and the reduction in</w:t>
      </w:r>
      <w:r>
        <w:rPr>
          <w:b w:val="0"/>
          <w:noProof w:val="0"/>
          <w:lang w:val="en-GB"/>
        </w:rPr>
        <w:t> </w:t>
      </w:r>
      <w:r w:rsidRPr="00F55232">
        <w:rPr>
          <w:b w:val="0"/>
          <w:noProof w:val="0"/>
          <w:lang w:val="en-GB"/>
        </w:rPr>
        <w:t>activities related to the provision of hotel services since the beginning of April resulted in</w:t>
      </w:r>
      <w:r>
        <w:rPr>
          <w:b w:val="0"/>
          <w:noProof w:val="0"/>
          <w:lang w:val="en-GB"/>
        </w:rPr>
        <w:t> </w:t>
      </w:r>
      <w:r w:rsidRPr="00F55232">
        <w:rPr>
          <w:b w:val="0"/>
          <w:noProof w:val="0"/>
          <w:lang w:val="en-GB"/>
        </w:rPr>
        <w:t>a significant decrease in the number of persons accommodated in tourist accommodation establishments. After the above restrictions were lifted in May, some accommodation establishments did not resume operations and, despite a gradual increase in the number of tourists accommodated in accommodation establishments, the occupancy of establishments did not reach the level of the same periods last year.</w:t>
      </w:r>
    </w:p>
    <w:p w:rsidR="00283996" w:rsidRPr="00F55232" w:rsidRDefault="00283996" w:rsidP="00283996">
      <w:pPr>
        <w:pStyle w:val="LID"/>
        <w:spacing w:before="0" w:after="0"/>
        <w:rPr>
          <w:b w:val="0"/>
          <w:noProof w:val="0"/>
          <w:lang w:val="en-GB"/>
        </w:rPr>
      </w:pPr>
    </w:p>
    <w:p w:rsidR="00283996" w:rsidRPr="00F55232" w:rsidRDefault="00283996" w:rsidP="00283996">
      <w:pPr>
        <w:pStyle w:val="Nagwek1"/>
        <w:spacing w:before="120"/>
        <w:rPr>
          <w:color w:val="auto"/>
          <w:lang w:val="en-GB"/>
        </w:rPr>
      </w:pPr>
      <w:r w:rsidRPr="00F55232">
        <w:rPr>
          <w:b/>
          <w:noProof/>
          <w:color w:val="auto"/>
        </w:rPr>
        <mc:AlternateContent>
          <mc:Choice Requires="wps">
            <w:drawing>
              <wp:anchor distT="45720" distB="45720" distL="114300" distR="114300" simplePos="0" relativeHeight="251778048" behindDoc="1" locked="0" layoutInCell="1" allowOverlap="1" wp14:anchorId="36E602CC" wp14:editId="31061983">
                <wp:simplePos x="0" y="0"/>
                <wp:positionH relativeFrom="rightMargin">
                  <wp:posOffset>97155</wp:posOffset>
                </wp:positionH>
                <wp:positionV relativeFrom="paragraph">
                  <wp:posOffset>273520</wp:posOffset>
                </wp:positionV>
                <wp:extent cx="1743075" cy="763270"/>
                <wp:effectExtent l="0" t="0" r="0" b="0"/>
                <wp:wrapTight wrapText="bothSides">
                  <wp:wrapPolygon edited="0">
                    <wp:start x="708" y="0"/>
                    <wp:lineTo x="708" y="21025"/>
                    <wp:lineTo x="20774" y="21025"/>
                    <wp:lineTo x="20774" y="0"/>
                    <wp:lineTo x="708"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63270"/>
                        </a:xfrm>
                        <a:prstGeom prst="rect">
                          <a:avLst/>
                        </a:prstGeom>
                        <a:noFill/>
                        <a:ln w="9525">
                          <a:noFill/>
                          <a:miter lim="800000"/>
                          <a:headEnd/>
                          <a:tailEnd/>
                        </a:ln>
                      </wps:spPr>
                      <wps:txbx>
                        <w:txbxContent>
                          <w:p w:rsidR="00283996" w:rsidRPr="005F5FC9" w:rsidRDefault="00283996" w:rsidP="00283996">
                            <w:pPr>
                              <w:pStyle w:val="tekstzboku"/>
                              <w:spacing w:before="0"/>
                              <w:ind w:right="-57"/>
                              <w:rPr>
                                <w:b/>
                                <w:lang w:val="en-GB"/>
                              </w:rPr>
                            </w:pPr>
                            <w:r w:rsidRPr="005F5FC9">
                              <w:rPr>
                                <w:lang w:val="en-GB"/>
                              </w:rPr>
                              <w:t>As of 31 July 2020, there were 10291 tourist accommodation establishments in Poland with 775.3 thousand bed places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602CC" id="_x0000_s1027" type="#_x0000_t202" style="position:absolute;margin-left:7.65pt;margin-top:21.55pt;width:137.25pt;height:60.1pt;z-index:-251538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" filled="f" stroked="f">
                <v:textbox>
                  <w:txbxContent>
                    <w:p w:rsidR="00283996" w:rsidRPr="005F5FC9" w:rsidRDefault="00283996" w:rsidP="00283996">
                      <w:pPr>
                        <w:pStyle w:val="tekstzboku"/>
                        <w:spacing w:before="0"/>
                        <w:ind w:right="-57"/>
                        <w:rPr>
                          <w:b/>
                          <w:lang w:val="en-GB"/>
                        </w:rPr>
                      </w:pPr>
                      <w:r w:rsidRPr="005F5FC9">
                        <w:rPr>
                          <w:lang w:val="en-GB"/>
                        </w:rPr>
                        <w:t>As of 31 July 2020, there were 10291 tourist accommodation establishments in Poland with 775.3 thousand bed places</w:t>
                      </w:r>
                    </w:p>
                  </w:txbxContent>
                </v:textbox>
                <w10:wrap type="tight" anchorx="margin"/>
              </v:shape>
            </w:pict>
          </mc:Fallback>
        </mc:AlternateContent>
      </w:r>
      <w:r w:rsidRPr="00F55232">
        <w:rPr>
          <w:b/>
          <w:color w:val="auto"/>
          <w:lang w:val="en-GB"/>
        </w:rPr>
        <w:t>Tourist accommodation establishments - end of July 2020</w:t>
      </w:r>
    </w:p>
    <w:p w:rsidR="00283996" w:rsidRPr="00F55232" w:rsidRDefault="00283996" w:rsidP="00283996">
      <w:pPr>
        <w:rPr>
          <w:shd w:val="clear" w:color="auto" w:fill="FFFFFF"/>
          <w:lang w:val="en-GB"/>
        </w:rPr>
      </w:pPr>
      <w:r>
        <w:rPr>
          <w:shd w:val="clear" w:color="auto" w:fill="FFFFFF"/>
          <w:lang w:val="en-GB"/>
        </w:rPr>
        <w:t>At the end of July 2020, 10</w:t>
      </w:r>
      <w:r w:rsidRPr="00F55232">
        <w:rPr>
          <w:shd w:val="clear" w:color="auto" w:fill="FFFFFF"/>
          <w:lang w:val="en-GB"/>
        </w:rPr>
        <w:t>291 tourist accommodation establishments were operating in Poland, i.e. by 8.5% (960 establishments) less than a year ago. The most significant decrease was in the number of hostels (by 18.9%), school youth shelters (by 17.9%) and other tourist accommodation establishments, e.g. boarding schools, student dormitories (by 15.4%). Among the establishments operating in July, most were hotels (2498), followed by guest rooms (2149), holiday centres (1020) and other hotel establishments (983).</w:t>
      </w:r>
    </w:p>
    <w:p w:rsidR="00283996" w:rsidRPr="00F55232" w:rsidRDefault="00283996" w:rsidP="00283996">
      <w:pPr>
        <w:rPr>
          <w:shd w:val="clear" w:color="auto" w:fill="FFFFFF"/>
          <w:lang w:val="en-GB"/>
        </w:rPr>
      </w:pPr>
      <w:r w:rsidRPr="00F55232">
        <w:rPr>
          <w:shd w:val="clear" w:color="auto" w:fill="FFFFFF"/>
          <w:lang w:val="en-GB"/>
        </w:rPr>
        <w:t xml:space="preserve">Most tourist accommodation establishments were located in </w:t>
      </w:r>
      <w:proofErr w:type="spellStart"/>
      <w:r w:rsidRPr="00F55232">
        <w:rPr>
          <w:shd w:val="clear" w:color="auto" w:fill="FFFFFF"/>
          <w:lang w:val="en-GB"/>
        </w:rPr>
        <w:t>Pomorskie</w:t>
      </w:r>
      <w:proofErr w:type="spellEnd"/>
      <w:r w:rsidRPr="00F55232">
        <w:rPr>
          <w:shd w:val="clear" w:color="auto" w:fill="FFFFFF"/>
          <w:lang w:val="en-GB"/>
        </w:rPr>
        <w:t xml:space="preserve"> Voivodship (1555), </w:t>
      </w:r>
      <w:proofErr w:type="spellStart"/>
      <w:r w:rsidRPr="00F55232">
        <w:rPr>
          <w:shd w:val="clear" w:color="auto" w:fill="FFFFFF"/>
          <w:lang w:val="en-GB"/>
        </w:rPr>
        <w:t>Zachodniopomorskie</w:t>
      </w:r>
      <w:proofErr w:type="spellEnd"/>
      <w:r w:rsidRPr="00F55232">
        <w:rPr>
          <w:shd w:val="clear" w:color="auto" w:fill="FFFFFF"/>
          <w:lang w:val="en-GB"/>
        </w:rPr>
        <w:t xml:space="preserve"> Voivodship (1484), </w:t>
      </w:r>
      <w:proofErr w:type="spellStart"/>
      <w:r w:rsidRPr="00F55232">
        <w:rPr>
          <w:shd w:val="clear" w:color="auto" w:fill="FFFFFF"/>
          <w:lang w:val="en-GB"/>
        </w:rPr>
        <w:t>Małopolskie</w:t>
      </w:r>
      <w:proofErr w:type="spellEnd"/>
      <w:r w:rsidRPr="00F55232">
        <w:rPr>
          <w:shd w:val="clear" w:color="auto" w:fill="FFFFFF"/>
          <w:lang w:val="en-GB"/>
        </w:rPr>
        <w:t xml:space="preserve"> Voivodship (1362) and </w:t>
      </w:r>
      <w:proofErr w:type="spellStart"/>
      <w:r w:rsidRPr="00F55232">
        <w:rPr>
          <w:shd w:val="clear" w:color="auto" w:fill="FFFFFF"/>
          <w:lang w:val="en-GB"/>
        </w:rPr>
        <w:t>Dolnośląskie</w:t>
      </w:r>
      <w:proofErr w:type="spellEnd"/>
      <w:r w:rsidRPr="00F55232">
        <w:rPr>
          <w:shd w:val="clear" w:color="auto" w:fill="FFFFFF"/>
          <w:lang w:val="en-GB"/>
        </w:rPr>
        <w:t xml:space="preserve"> Voivodship (1012). These voivodships concentrated half of the country's accommodation establishments.</w:t>
      </w:r>
    </w:p>
    <w:p w:rsidR="00283996" w:rsidRPr="00F55232" w:rsidRDefault="00283996" w:rsidP="00283996">
      <w:pPr>
        <w:rPr>
          <w:shd w:val="clear" w:color="auto" w:fill="FFFFFF"/>
          <w:lang w:val="en-GB"/>
        </w:rPr>
      </w:pPr>
      <w:r w:rsidRPr="00F55232">
        <w:rPr>
          <w:shd w:val="clear" w:color="auto" w:fill="FFFFFF"/>
          <w:lang w:val="en-GB"/>
        </w:rPr>
        <w:t>In July, 775.3 thousand bed places were prepared for tourists, including 225.2 thousand seasonal bed places. The largest number of bed places was available in hotels (276.4 thousand) and holiday centres (122.3 thousand). Compared with the end of July 2019, the number of bed places decreased by 6.1%. The decrease concerned almost all types of establishments, except for boarding houses and complexes of tourist cottages, where the number of bed places remained unchanged, as well as hostels, which offered about 11% more places than a</w:t>
      </w:r>
      <w:r>
        <w:rPr>
          <w:shd w:val="clear" w:color="auto" w:fill="FFFFFF"/>
          <w:lang w:val="en-GB"/>
        </w:rPr>
        <w:t> </w:t>
      </w:r>
      <w:r w:rsidRPr="00F55232">
        <w:rPr>
          <w:shd w:val="clear" w:color="auto" w:fill="FFFFFF"/>
          <w:lang w:val="en-GB"/>
        </w:rPr>
        <w:t>year ago.</w:t>
      </w:r>
    </w:p>
    <w:p w:rsidR="00283996" w:rsidRPr="00F55232" w:rsidRDefault="00283996" w:rsidP="00283996">
      <w:pPr>
        <w:rPr>
          <w:shd w:val="clear" w:color="auto" w:fill="FFFFFF"/>
          <w:lang w:val="en-GB"/>
        </w:rPr>
      </w:pPr>
      <w:r w:rsidRPr="00F55232">
        <w:rPr>
          <w:shd w:val="clear" w:color="auto" w:fill="FFFFFF"/>
          <w:lang w:val="en-GB"/>
        </w:rPr>
        <w:t xml:space="preserve">The largest number of bed places available for tourists was in </w:t>
      </w:r>
      <w:proofErr w:type="spellStart"/>
      <w:r w:rsidRPr="00F55232">
        <w:rPr>
          <w:shd w:val="clear" w:color="auto" w:fill="FFFFFF"/>
          <w:lang w:val="en-GB"/>
        </w:rPr>
        <w:t>Zachodniopomorskie</w:t>
      </w:r>
      <w:proofErr w:type="spellEnd"/>
      <w:r w:rsidRPr="00F55232">
        <w:rPr>
          <w:shd w:val="clear" w:color="auto" w:fill="FFFFFF"/>
          <w:lang w:val="en-GB"/>
        </w:rPr>
        <w:t xml:space="preserve"> Voivodship (141 thousand), </w:t>
      </w:r>
      <w:proofErr w:type="spellStart"/>
      <w:r w:rsidRPr="00F55232">
        <w:rPr>
          <w:shd w:val="clear" w:color="auto" w:fill="FFFFFF"/>
          <w:lang w:val="en-GB"/>
        </w:rPr>
        <w:t>Pomorskie</w:t>
      </w:r>
      <w:proofErr w:type="spellEnd"/>
      <w:r w:rsidRPr="00F55232">
        <w:rPr>
          <w:shd w:val="clear" w:color="auto" w:fill="FFFFFF"/>
          <w:lang w:val="en-GB"/>
        </w:rPr>
        <w:t xml:space="preserve"> Voivodship (116 thousand) and </w:t>
      </w:r>
      <w:proofErr w:type="spellStart"/>
      <w:r w:rsidRPr="00F55232">
        <w:rPr>
          <w:shd w:val="clear" w:color="auto" w:fill="FFFFFF"/>
          <w:lang w:val="en-GB"/>
        </w:rPr>
        <w:t>Małopolskie</w:t>
      </w:r>
      <w:proofErr w:type="spellEnd"/>
      <w:r w:rsidRPr="00F55232">
        <w:rPr>
          <w:shd w:val="clear" w:color="auto" w:fill="FFFFFF"/>
          <w:lang w:val="en-GB"/>
        </w:rPr>
        <w:t xml:space="preserve"> Voivodship (95</w:t>
      </w:r>
      <w:r>
        <w:rPr>
          <w:shd w:val="clear" w:color="auto" w:fill="FFFFFF"/>
          <w:lang w:val="en-GB"/>
        </w:rPr>
        <w:t> </w:t>
      </w:r>
      <w:r w:rsidRPr="00F55232">
        <w:rPr>
          <w:shd w:val="clear" w:color="auto" w:fill="FFFFFF"/>
          <w:lang w:val="en-GB"/>
        </w:rPr>
        <w:t>thousand).</w:t>
      </w:r>
    </w:p>
    <w:p w:rsidR="00283996" w:rsidRPr="00F55232" w:rsidRDefault="00283996" w:rsidP="00283996">
      <w:pPr>
        <w:rPr>
          <w:shd w:val="clear" w:color="auto" w:fill="FFFFFF"/>
          <w:lang w:val="en-GB"/>
        </w:rPr>
      </w:pPr>
      <w:r w:rsidRPr="00F55232">
        <w:rPr>
          <w:shd w:val="clear" w:color="auto" w:fill="FFFFFF"/>
          <w:lang w:val="en-GB"/>
        </w:rPr>
        <w:t>Tourist accommodation establishments in Poland are medium-sized - on average they have 75 bed places. The largest are health establishments with an average of nearly 200 bed places, camping sites with over 150 bed places as well as holiday youth centres with 140 bed places and holiday centres with 120 bed places. Hotels have 111 bed places and 54 rooms, on</w:t>
      </w:r>
      <w:r>
        <w:rPr>
          <w:shd w:val="clear" w:color="auto" w:fill="FFFFFF"/>
          <w:lang w:val="en-GB"/>
        </w:rPr>
        <w:t> </w:t>
      </w:r>
      <w:r w:rsidRPr="00F55232">
        <w:rPr>
          <w:shd w:val="clear" w:color="auto" w:fill="FFFFFF"/>
          <w:lang w:val="en-GB"/>
        </w:rPr>
        <w:t>average.</w:t>
      </w:r>
    </w:p>
    <w:p w:rsidR="00283996" w:rsidRPr="00F55232" w:rsidRDefault="00283996" w:rsidP="00283996">
      <w:pPr>
        <w:rPr>
          <w:shd w:val="clear" w:color="auto" w:fill="FFFFFF"/>
          <w:lang w:val="en-GB"/>
        </w:rPr>
      </w:pPr>
      <w:r w:rsidRPr="00F55232">
        <w:rPr>
          <w:shd w:val="clear" w:color="auto" w:fill="FFFFFF"/>
          <w:lang w:val="en-GB"/>
        </w:rPr>
        <w:t>As of 31 July this year, there were 7195 catering facilities in tourist accommodation establishments, i.e. 774 fewer than in the previous year. The largest group of facilities were restaurants - 3134, i.e. 43.6% of all facilities, and bars and cafés - 1979 (27.5%).</w:t>
      </w:r>
    </w:p>
    <w:p w:rsidR="007F120A" w:rsidRPr="00F55232" w:rsidRDefault="007F120A" w:rsidP="007F120A">
      <w:pPr>
        <w:pStyle w:val="LID"/>
        <w:spacing w:before="0" w:after="0"/>
        <w:rPr>
          <w:noProof w:val="0"/>
          <w:sz w:val="18"/>
          <w:szCs w:val="18"/>
          <w:lang w:val="en-GB"/>
        </w:rPr>
      </w:pPr>
      <w:r w:rsidRPr="00F55232">
        <w:rPr>
          <w:noProof w:val="0"/>
          <w:sz w:val="18"/>
          <w:szCs w:val="18"/>
          <w:lang w:val="en-GB"/>
        </w:rPr>
        <w:lastRenderedPageBreak/>
        <w:t xml:space="preserve">Map 1. </w:t>
      </w:r>
      <w:r w:rsidR="00283996" w:rsidRPr="00283996">
        <w:rPr>
          <w:noProof w:val="0"/>
          <w:sz w:val="18"/>
          <w:szCs w:val="18"/>
          <w:lang w:val="en-GB"/>
        </w:rPr>
        <w:t>Bed places in tourist accommodation establishments in 2020 – as of 31 July</w:t>
      </w:r>
    </w:p>
    <w:p w:rsidR="006F6739" w:rsidRDefault="007F120A">
      <w:pPr>
        <w:spacing w:before="0" w:after="160" w:line="259" w:lineRule="auto"/>
        <w:rPr>
          <w:noProof/>
          <w:szCs w:val="19"/>
          <w:lang w:val="en-GB" w:eastAsia="pl-PL"/>
        </w:rPr>
      </w:pPr>
      <w:r>
        <w:rPr>
          <w:noProof/>
          <w:lang w:eastAsia="pl-PL"/>
        </w:rPr>
        <w:drawing>
          <wp:anchor distT="0" distB="0" distL="114300" distR="114300" simplePos="0" relativeHeight="251763712" behindDoc="0" locked="0" layoutInCell="1" allowOverlap="1">
            <wp:simplePos x="0" y="0"/>
            <wp:positionH relativeFrom="column">
              <wp:posOffset>123190</wp:posOffset>
            </wp:positionH>
            <wp:positionV relativeFrom="paragraph">
              <wp:posOffset>179070</wp:posOffset>
            </wp:positionV>
            <wp:extent cx="4310380" cy="3311525"/>
            <wp:effectExtent l="0" t="0" r="0" b="3175"/>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ejsca_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0380" cy="3311525"/>
                    </a:xfrm>
                    <a:prstGeom prst="rect">
                      <a:avLst/>
                    </a:prstGeom>
                  </pic:spPr>
                </pic:pic>
              </a:graphicData>
            </a:graphic>
            <wp14:sizeRelH relativeFrom="margin">
              <wp14:pctWidth>0</wp14:pctWidth>
            </wp14:sizeRelH>
            <wp14:sizeRelV relativeFrom="margin">
              <wp14:pctHeight>0</wp14:pctHeight>
            </wp14:sizeRelV>
          </wp:anchor>
        </w:drawing>
      </w:r>
    </w:p>
    <w:p w:rsidR="007F120A" w:rsidRDefault="007F120A" w:rsidP="00026154">
      <w:pPr>
        <w:spacing w:before="240"/>
        <w:rPr>
          <w:noProof/>
          <w:szCs w:val="19"/>
          <w:lang w:val="en-GB" w:eastAsia="pl-PL"/>
        </w:rPr>
      </w:pPr>
    </w:p>
    <w:p w:rsidR="007F120A" w:rsidRPr="00283996" w:rsidRDefault="007F120A" w:rsidP="007F120A">
      <w:pPr>
        <w:pStyle w:val="Nagwek1"/>
        <w:rPr>
          <w:color w:val="auto"/>
          <w:spacing w:val="-2"/>
          <w:szCs w:val="19"/>
          <w:lang w:val="en-GB"/>
        </w:rPr>
      </w:pPr>
      <w:r w:rsidRPr="00F55232">
        <w:rPr>
          <w:b/>
          <w:noProof/>
          <w:color w:val="auto"/>
        </w:rPr>
        <mc:AlternateContent>
          <mc:Choice Requires="wps">
            <w:drawing>
              <wp:anchor distT="45720" distB="45720" distL="114300" distR="114300" simplePos="0" relativeHeight="251765760" behindDoc="1" locked="0" layoutInCell="1" allowOverlap="1" wp14:anchorId="61A0AEF1" wp14:editId="6C6447C3">
                <wp:simplePos x="0" y="0"/>
                <wp:positionH relativeFrom="page">
                  <wp:posOffset>5669280</wp:posOffset>
                </wp:positionH>
                <wp:positionV relativeFrom="paragraph">
                  <wp:posOffset>230367</wp:posOffset>
                </wp:positionV>
                <wp:extent cx="1812290" cy="1122045"/>
                <wp:effectExtent l="0" t="0" r="0" b="1905"/>
                <wp:wrapTight wrapText="bothSides">
                  <wp:wrapPolygon edited="0">
                    <wp:start x="681" y="0"/>
                    <wp:lineTo x="681" y="21270"/>
                    <wp:lineTo x="20889" y="21270"/>
                    <wp:lineTo x="20889" y="0"/>
                    <wp:lineTo x="681" y="0"/>
                  </wp:wrapPolygon>
                </wp:wrapTight>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122045"/>
                        </a:xfrm>
                        <a:prstGeom prst="rect">
                          <a:avLst/>
                        </a:prstGeom>
                        <a:noFill/>
                        <a:ln w="9525">
                          <a:noFill/>
                          <a:miter lim="800000"/>
                          <a:headEnd/>
                          <a:tailEnd/>
                        </a:ln>
                      </wps:spPr>
                      <wps:txbx>
                        <w:txbxContent>
                          <w:p w:rsidR="007F120A" w:rsidRPr="005F5FC9" w:rsidRDefault="00283996" w:rsidP="007F120A">
                            <w:pPr>
                              <w:pStyle w:val="tekstzboku"/>
                              <w:spacing w:before="0"/>
                              <w:ind w:right="-57"/>
                              <w:rPr>
                                <w:b/>
                                <w:lang w:val="en-GB"/>
                              </w:rPr>
                            </w:pPr>
                            <w:r w:rsidRPr="00283996">
                              <w:rPr>
                                <w:lang w:val="en-GB"/>
                              </w:rPr>
                              <w:t>In the period January-June 2020, 7.3 million people were accommodated in tourist accommodation establish-</w:t>
                            </w:r>
                            <w:proofErr w:type="spellStart"/>
                            <w:r w:rsidRPr="00283996">
                              <w:rPr>
                                <w:lang w:val="en-GB"/>
                              </w:rPr>
                              <w:t>ments</w:t>
                            </w:r>
                            <w:proofErr w:type="spellEnd"/>
                            <w:r w:rsidRPr="00283996">
                              <w:rPr>
                                <w:lang w:val="en-GB"/>
                              </w:rPr>
                              <w:t>, of which 1.1 million came from abroad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0AEF1" id="_x0000_s1028" type="#_x0000_t202" style="position:absolute;margin-left:446.4pt;margin-top:18.15pt;width:142.7pt;height:88.35pt;z-index:-251550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" filled="f" stroked="f">
                <v:textbox>
                  <w:txbxContent>
                    <w:p w:rsidR="007F120A" w:rsidRPr="005F5FC9" w:rsidRDefault="00283996" w:rsidP="007F120A">
                      <w:pPr>
                        <w:pStyle w:val="tekstzboku"/>
                        <w:spacing w:before="0"/>
                        <w:ind w:right="-57"/>
                        <w:rPr>
                          <w:b/>
                          <w:lang w:val="en-GB"/>
                        </w:rPr>
                      </w:pPr>
                      <w:r w:rsidRPr="00283996">
                        <w:rPr>
                          <w:lang w:val="en-GB"/>
                        </w:rPr>
                        <w:t>In the period January-June 2020, 7.3 million people were accommodated in tourist accommodation establish-</w:t>
                      </w:r>
                      <w:proofErr w:type="spellStart"/>
                      <w:r w:rsidRPr="00283996">
                        <w:rPr>
                          <w:lang w:val="en-GB"/>
                        </w:rPr>
                        <w:t>ments</w:t>
                      </w:r>
                      <w:proofErr w:type="spellEnd"/>
                      <w:r w:rsidRPr="00283996">
                        <w:rPr>
                          <w:lang w:val="en-GB"/>
                        </w:rPr>
                        <w:t>, of which 1.1 million came from abroad</w:t>
                      </w:r>
                    </w:p>
                  </w:txbxContent>
                </v:textbox>
                <w10:wrap type="tight" anchorx="page"/>
              </v:shape>
            </w:pict>
          </mc:Fallback>
        </mc:AlternateContent>
      </w:r>
      <w:r w:rsidR="00283996" w:rsidRPr="00283996">
        <w:rPr>
          <w:b/>
          <w:noProof/>
          <w:color w:val="auto"/>
          <w:lang w:val="en-GB"/>
        </w:rPr>
        <w:t>Occupancy of tourist accommodation establishments in the first half of 2020</w:t>
      </w:r>
    </w:p>
    <w:p w:rsidR="007F120A" w:rsidRDefault="00283996" w:rsidP="007F120A">
      <w:pPr>
        <w:pStyle w:val="LID"/>
        <w:spacing w:before="0"/>
        <w:rPr>
          <w:b w:val="0"/>
          <w:noProof w:val="0"/>
          <w:spacing w:val="-2"/>
          <w:lang w:val="en-GB"/>
        </w:rPr>
      </w:pPr>
      <w:r w:rsidRPr="00283996">
        <w:rPr>
          <w:b w:val="0"/>
          <w:noProof w:val="0"/>
          <w:spacing w:val="-2"/>
          <w:lang w:val="en-GB"/>
        </w:rPr>
        <w:t xml:space="preserve">In the first half of 2020, 7.3 million people were accommodated in tourist accommodation establishments, i.e. 54.3% less than in the same period last year. In January and February this year, there was an approximately 8% increase in the number of persons </w:t>
      </w:r>
      <w:proofErr w:type="spellStart"/>
      <w:r w:rsidRPr="00283996">
        <w:rPr>
          <w:b w:val="0"/>
          <w:noProof w:val="0"/>
          <w:spacing w:val="-2"/>
          <w:lang w:val="en-GB"/>
        </w:rPr>
        <w:t>accommodat</w:t>
      </w:r>
      <w:proofErr w:type="spellEnd"/>
      <w:r w:rsidRPr="00283996">
        <w:rPr>
          <w:b w:val="0"/>
          <w:noProof w:val="0"/>
          <w:spacing w:val="-2"/>
          <w:lang w:val="en-GB"/>
        </w:rPr>
        <w:t>-ed. Starting from March, the number of tourists in accommodation establishments started to fall sharply, reaching its lowest level in April (96.5% drop), when most of the establish-</w:t>
      </w:r>
      <w:proofErr w:type="spellStart"/>
      <w:r w:rsidRPr="00283996">
        <w:rPr>
          <w:b w:val="0"/>
          <w:noProof w:val="0"/>
          <w:spacing w:val="-2"/>
          <w:lang w:val="en-GB"/>
        </w:rPr>
        <w:t>ments</w:t>
      </w:r>
      <w:proofErr w:type="spellEnd"/>
      <w:r w:rsidRPr="00283996">
        <w:rPr>
          <w:b w:val="0"/>
          <w:noProof w:val="0"/>
          <w:spacing w:val="-2"/>
          <w:lang w:val="en-GB"/>
        </w:rPr>
        <w:t xml:space="preserve"> suspended their operations due to the COVID-19 pandemic. Since May this year, there has been an increase in the number of persons accommodated, but their number in any month did not reach the level of a year ago.</w:t>
      </w:r>
    </w:p>
    <w:p w:rsidR="00283996" w:rsidRPr="00F55232" w:rsidRDefault="00283996" w:rsidP="007F120A">
      <w:pPr>
        <w:pStyle w:val="LID"/>
        <w:spacing w:before="0"/>
        <w:rPr>
          <w:b w:val="0"/>
          <w:noProof w:val="0"/>
          <w:spacing w:val="-2"/>
          <w:lang w:val="en-GB"/>
        </w:rPr>
      </w:pPr>
    </w:p>
    <w:p w:rsidR="007F120A" w:rsidRDefault="00A74C4E" w:rsidP="007F120A">
      <w:pPr>
        <w:pStyle w:val="LID"/>
        <w:spacing w:before="0" w:after="0"/>
        <w:rPr>
          <w:noProof w:val="0"/>
          <w:sz w:val="18"/>
          <w:szCs w:val="18"/>
          <w:lang w:val="en-GB"/>
        </w:rPr>
      </w:pPr>
      <w:r>
        <w:drawing>
          <wp:anchor distT="0" distB="0" distL="114300" distR="114300" simplePos="0" relativeHeight="251774976" behindDoc="0" locked="0" layoutInCell="1" allowOverlap="1">
            <wp:simplePos x="0" y="0"/>
            <wp:positionH relativeFrom="column">
              <wp:posOffset>-131445</wp:posOffset>
            </wp:positionH>
            <wp:positionV relativeFrom="paragraph">
              <wp:posOffset>250825</wp:posOffset>
            </wp:positionV>
            <wp:extent cx="5215890" cy="2771775"/>
            <wp:effectExtent l="0" t="0" r="3810" b="0"/>
            <wp:wrapTopAndBottom/>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sidR="007F120A" w:rsidRPr="00F55232">
        <w:rPr>
          <w:noProof w:val="0"/>
          <w:lang w:val="en-GB"/>
        </w:rPr>
        <w:t>Chart</w:t>
      </w:r>
      <w:r w:rsidR="007F120A" w:rsidRPr="00F55232">
        <w:rPr>
          <w:noProof w:val="0"/>
          <w:sz w:val="18"/>
          <w:szCs w:val="18"/>
          <w:lang w:val="en-GB"/>
        </w:rPr>
        <w:t xml:space="preserve"> 1. </w:t>
      </w:r>
      <w:r w:rsidR="00283996" w:rsidRPr="00283996">
        <w:rPr>
          <w:noProof w:val="0"/>
          <w:sz w:val="18"/>
          <w:szCs w:val="18"/>
          <w:lang w:val="en-GB"/>
        </w:rPr>
        <w:t>Tourists accommodated in tourist accommodation establishments</w:t>
      </w:r>
    </w:p>
    <w:p w:rsidR="00A74C4E" w:rsidRPr="00A74C4E" w:rsidRDefault="00283996" w:rsidP="00A74C4E">
      <w:pPr>
        <w:pStyle w:val="LID"/>
        <w:spacing w:before="0" w:after="0"/>
        <w:rPr>
          <w:b w:val="0"/>
          <w:noProof w:val="0"/>
          <w:lang w:val="en-GB"/>
        </w:rPr>
      </w:pPr>
      <w:r w:rsidRPr="00283996">
        <w:rPr>
          <w:b w:val="0"/>
          <w:noProof w:val="0"/>
          <w:lang w:val="en-GB"/>
        </w:rPr>
        <w:t xml:space="preserve">In the period January-June 2020, most tourists were accommodated in hotels - 4.9 million, followed by other hotel establishments - 631.1 thousand and holiday centres - 365.6 thou-sand. About 200 thousand persons were accommodated in training and recreational </w:t>
      </w:r>
      <w:proofErr w:type="spellStart"/>
      <w:r w:rsidRPr="00283996">
        <w:rPr>
          <w:b w:val="0"/>
          <w:noProof w:val="0"/>
          <w:lang w:val="en-GB"/>
        </w:rPr>
        <w:t>cen-tres</w:t>
      </w:r>
      <w:proofErr w:type="spellEnd"/>
      <w:r w:rsidRPr="00283996">
        <w:rPr>
          <w:b w:val="0"/>
          <w:noProof w:val="0"/>
          <w:lang w:val="en-GB"/>
        </w:rPr>
        <w:t>, health establishments and rooms for guests.</w:t>
      </w:r>
    </w:p>
    <w:p w:rsidR="007F120A" w:rsidRPr="00F55232" w:rsidRDefault="007F120A" w:rsidP="007F120A">
      <w:pPr>
        <w:pStyle w:val="LID"/>
        <w:spacing w:before="0" w:after="0"/>
        <w:rPr>
          <w:b w:val="0"/>
          <w:noProof w:val="0"/>
          <w:lang w:val="en-GB"/>
        </w:rPr>
      </w:pPr>
      <w:r w:rsidRPr="00F55232">
        <w:rPr>
          <w:b w:val="0"/>
          <w:noProof w:val="0"/>
          <w:lang w:val="en-GB"/>
        </w:rPr>
        <w:lastRenderedPageBreak/>
        <w:t xml:space="preserve">In comparison with the first half of 2019, the greatest drops (ca. 70%) in the number of persons accommodated were recorded in holiday youth centres, youth shelters and school youth shelters. Accommodation in boarding houses, shelters, health establishments, rooms for guest and </w:t>
      </w:r>
      <w:proofErr w:type="spellStart"/>
      <w:r w:rsidRPr="00F55232">
        <w:rPr>
          <w:b w:val="0"/>
          <w:noProof w:val="0"/>
          <w:lang w:val="en-GB"/>
        </w:rPr>
        <w:t>agritourism</w:t>
      </w:r>
      <w:proofErr w:type="spellEnd"/>
      <w:r w:rsidRPr="00F55232">
        <w:rPr>
          <w:b w:val="0"/>
          <w:noProof w:val="0"/>
          <w:lang w:val="en-GB"/>
        </w:rPr>
        <w:t xml:space="preserve"> lodgings was most frequently chosen with the number of tourists reaching over 50% of the same period last year.</w:t>
      </w:r>
    </w:p>
    <w:p w:rsidR="007F120A" w:rsidRPr="00F55232" w:rsidRDefault="007F120A" w:rsidP="007F120A">
      <w:pPr>
        <w:pStyle w:val="LID"/>
        <w:spacing w:before="0" w:after="0"/>
        <w:rPr>
          <w:b w:val="0"/>
          <w:noProof w:val="0"/>
          <w:lang w:val="en-GB"/>
        </w:rPr>
      </w:pPr>
    </w:p>
    <w:p w:rsidR="007F120A" w:rsidRPr="00F55232" w:rsidRDefault="007F120A" w:rsidP="007F120A">
      <w:pPr>
        <w:pStyle w:val="LID"/>
        <w:spacing w:before="0" w:after="0"/>
        <w:rPr>
          <w:b w:val="0"/>
          <w:noProof w:val="0"/>
          <w:lang w:val="en-GB"/>
        </w:rPr>
      </w:pPr>
      <w:r w:rsidRPr="00F55232">
        <w:rPr>
          <w:b w:val="0"/>
          <w:noProof w:val="0"/>
          <w:lang w:val="en-GB"/>
        </w:rPr>
        <w:t xml:space="preserve">The most popular voivodships among tourists were </w:t>
      </w:r>
      <w:proofErr w:type="spellStart"/>
      <w:r w:rsidRPr="00F55232">
        <w:rPr>
          <w:b w:val="0"/>
          <w:noProof w:val="0"/>
          <w:lang w:val="en-GB"/>
        </w:rPr>
        <w:t>Małopolskie</w:t>
      </w:r>
      <w:proofErr w:type="spellEnd"/>
      <w:r w:rsidRPr="00F55232">
        <w:rPr>
          <w:b w:val="0"/>
          <w:noProof w:val="0"/>
          <w:lang w:val="en-GB"/>
        </w:rPr>
        <w:t xml:space="preserve"> Voivodship and </w:t>
      </w:r>
      <w:proofErr w:type="spellStart"/>
      <w:r w:rsidRPr="00F55232">
        <w:rPr>
          <w:b w:val="0"/>
          <w:noProof w:val="0"/>
          <w:lang w:val="en-GB"/>
        </w:rPr>
        <w:t>Mazowieckie</w:t>
      </w:r>
      <w:proofErr w:type="spellEnd"/>
      <w:r w:rsidRPr="00F55232">
        <w:rPr>
          <w:b w:val="0"/>
          <w:noProof w:val="0"/>
          <w:lang w:val="en-GB"/>
        </w:rPr>
        <w:t xml:space="preserve"> Voivodship, with over 1 million tourists visiting them in the period January-June 2020. A large number of tourists were also accommodated in accommodation establishments in </w:t>
      </w:r>
      <w:proofErr w:type="spellStart"/>
      <w:r w:rsidRPr="00F55232">
        <w:rPr>
          <w:b w:val="0"/>
          <w:noProof w:val="0"/>
          <w:lang w:val="en-GB"/>
        </w:rPr>
        <w:t>Dolnośląskie</w:t>
      </w:r>
      <w:proofErr w:type="spellEnd"/>
      <w:r w:rsidRPr="00F55232">
        <w:rPr>
          <w:b w:val="0"/>
          <w:noProof w:val="0"/>
          <w:lang w:val="en-GB"/>
        </w:rPr>
        <w:t xml:space="preserve"> Voivodship – 878 thousand, </w:t>
      </w:r>
      <w:proofErr w:type="spellStart"/>
      <w:r w:rsidRPr="00F55232">
        <w:rPr>
          <w:b w:val="0"/>
          <w:noProof w:val="0"/>
          <w:lang w:val="en-GB"/>
        </w:rPr>
        <w:t>Zachodniopomorskie</w:t>
      </w:r>
      <w:proofErr w:type="spellEnd"/>
      <w:r w:rsidRPr="00F55232">
        <w:rPr>
          <w:b w:val="0"/>
          <w:noProof w:val="0"/>
          <w:lang w:val="en-GB"/>
        </w:rPr>
        <w:t xml:space="preserve"> Voivodship – 695 thousand and </w:t>
      </w:r>
      <w:proofErr w:type="spellStart"/>
      <w:r w:rsidRPr="00F55232">
        <w:rPr>
          <w:b w:val="0"/>
          <w:noProof w:val="0"/>
          <w:lang w:val="en-GB"/>
        </w:rPr>
        <w:t>Pomorskie</w:t>
      </w:r>
      <w:proofErr w:type="spellEnd"/>
      <w:r w:rsidRPr="00F55232">
        <w:rPr>
          <w:b w:val="0"/>
          <w:noProof w:val="0"/>
          <w:lang w:val="en-GB"/>
        </w:rPr>
        <w:t xml:space="preserve"> and </w:t>
      </w:r>
      <w:proofErr w:type="spellStart"/>
      <w:r w:rsidRPr="00F55232">
        <w:rPr>
          <w:b w:val="0"/>
          <w:noProof w:val="0"/>
          <w:lang w:val="en-GB"/>
        </w:rPr>
        <w:t>Śląskie</w:t>
      </w:r>
      <w:proofErr w:type="spellEnd"/>
      <w:r w:rsidRPr="00F55232">
        <w:rPr>
          <w:b w:val="0"/>
          <w:noProof w:val="0"/>
          <w:lang w:val="en-GB"/>
        </w:rPr>
        <w:t xml:space="preserve"> Voivodships – 660 and 622 thousand respectively. </w:t>
      </w:r>
    </w:p>
    <w:p w:rsidR="007F120A" w:rsidRPr="00F55232" w:rsidRDefault="007F120A" w:rsidP="007F120A">
      <w:pPr>
        <w:pStyle w:val="LID"/>
        <w:spacing w:before="0" w:after="0"/>
        <w:rPr>
          <w:b w:val="0"/>
          <w:noProof w:val="0"/>
          <w:lang w:val="en-GB"/>
        </w:rPr>
      </w:pPr>
      <w:r w:rsidRPr="00F55232">
        <w:rPr>
          <w:b w:val="0"/>
          <w:noProof w:val="0"/>
          <w:lang w:val="en-GB"/>
        </w:rPr>
        <w:t xml:space="preserve">Except from </w:t>
      </w:r>
      <w:proofErr w:type="spellStart"/>
      <w:r w:rsidRPr="00F55232">
        <w:rPr>
          <w:b w:val="0"/>
          <w:noProof w:val="0"/>
          <w:lang w:val="en-GB"/>
        </w:rPr>
        <w:t>Zachodniopomorskie</w:t>
      </w:r>
      <w:proofErr w:type="spellEnd"/>
      <w:r w:rsidRPr="00F55232">
        <w:rPr>
          <w:b w:val="0"/>
          <w:noProof w:val="0"/>
          <w:lang w:val="en-GB"/>
        </w:rPr>
        <w:t xml:space="preserve"> Voivodship, the decreases in the number of persons accommodated in the voivodships were over 50% compared with the corresponding period of</w:t>
      </w:r>
      <w:r w:rsidR="00562037">
        <w:rPr>
          <w:b w:val="0"/>
          <w:noProof w:val="0"/>
          <w:lang w:val="en-GB"/>
        </w:rPr>
        <w:t> </w:t>
      </w:r>
      <w:r w:rsidRPr="00F55232">
        <w:rPr>
          <w:b w:val="0"/>
          <w:noProof w:val="0"/>
          <w:lang w:val="en-GB"/>
        </w:rPr>
        <w:t>last year.</w:t>
      </w:r>
    </w:p>
    <w:p w:rsidR="007F120A" w:rsidRPr="00F55232" w:rsidRDefault="007F120A" w:rsidP="007F120A">
      <w:pPr>
        <w:pStyle w:val="LID"/>
        <w:spacing w:before="0" w:after="0"/>
        <w:rPr>
          <w:b w:val="0"/>
          <w:noProof w:val="0"/>
          <w:lang w:val="en-GB"/>
        </w:rPr>
      </w:pPr>
    </w:p>
    <w:p w:rsidR="007F120A" w:rsidRPr="00F55232" w:rsidRDefault="007F120A" w:rsidP="007F120A">
      <w:pPr>
        <w:pStyle w:val="LID"/>
        <w:spacing w:before="0" w:after="0"/>
        <w:ind w:left="851" w:hanging="851"/>
        <w:rPr>
          <w:noProof w:val="0"/>
          <w:sz w:val="18"/>
          <w:szCs w:val="18"/>
          <w:lang w:val="en-GB"/>
        </w:rPr>
      </w:pPr>
      <w:r w:rsidRPr="00F55232">
        <w:rPr>
          <w:noProof w:val="0"/>
          <w:sz w:val="18"/>
          <w:szCs w:val="18"/>
          <w:lang w:val="en-GB"/>
        </w:rPr>
        <w:t>Table 1. Tourists in tourist accommodation establishments in the first half of 2020</w:t>
      </w:r>
    </w:p>
    <w:p w:rsidR="007F120A" w:rsidRPr="00F55232" w:rsidRDefault="007F120A" w:rsidP="007F120A">
      <w:pPr>
        <w:pStyle w:val="LID"/>
        <w:spacing w:before="0" w:after="0"/>
        <w:ind w:left="851" w:hanging="851"/>
        <w:rPr>
          <w:noProof w:val="0"/>
          <w:sz w:val="18"/>
          <w:szCs w:val="18"/>
          <w:lang w:val="en-GB"/>
        </w:rPr>
      </w:pPr>
    </w:p>
    <w:tbl>
      <w:tblPr>
        <w:tblStyle w:val="Tabela-Siatka"/>
        <w:tblW w:w="5000" w:type="pct"/>
        <w:tblBorders>
          <w:top w:val="single" w:sz="4" w:space="0" w:color="002060"/>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1908"/>
        <w:gridCol w:w="1025"/>
        <w:gridCol w:w="1026"/>
        <w:gridCol w:w="1026"/>
        <w:gridCol w:w="1026"/>
        <w:gridCol w:w="1028"/>
        <w:gridCol w:w="1028"/>
      </w:tblGrid>
      <w:tr w:rsidR="007F120A" w:rsidRPr="00F55232" w:rsidTr="00520B7F">
        <w:trPr>
          <w:trHeight w:val="397"/>
        </w:trPr>
        <w:tc>
          <w:tcPr>
            <w:tcW w:w="1183" w:type="pct"/>
            <w:vMerge w:val="restart"/>
            <w:tcBorders>
              <w:top w:val="nil"/>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Voivodship</w:t>
            </w:r>
          </w:p>
        </w:tc>
        <w:tc>
          <w:tcPr>
            <w:tcW w:w="1271" w:type="pct"/>
            <w:gridSpan w:val="2"/>
            <w:tcBorders>
              <w:top w:val="nil"/>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Total</w:t>
            </w:r>
          </w:p>
        </w:tc>
        <w:tc>
          <w:tcPr>
            <w:tcW w:w="1272" w:type="pct"/>
            <w:gridSpan w:val="2"/>
            <w:tcBorders>
              <w:top w:val="nil"/>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Domestic tourists</w:t>
            </w:r>
          </w:p>
        </w:tc>
        <w:tc>
          <w:tcPr>
            <w:tcW w:w="1274" w:type="pct"/>
            <w:gridSpan w:val="2"/>
            <w:tcBorders>
              <w:top w:val="nil"/>
              <w:left w:val="single" w:sz="4" w:space="0" w:color="212492"/>
              <w:bottom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Foreign tourists</w:t>
            </w:r>
          </w:p>
        </w:tc>
      </w:tr>
      <w:tr w:rsidR="007F120A" w:rsidRPr="00F55232" w:rsidTr="00520B7F">
        <w:trPr>
          <w:trHeight w:val="397"/>
        </w:trPr>
        <w:tc>
          <w:tcPr>
            <w:tcW w:w="1183" w:type="pct"/>
            <w:vMerge/>
            <w:tcBorders>
              <w:bottom w:val="single" w:sz="4" w:space="0" w:color="212492"/>
              <w:right w:val="single" w:sz="4" w:space="0" w:color="212492"/>
            </w:tcBorders>
            <w:vAlign w:val="center"/>
          </w:tcPr>
          <w:p w:rsidR="007F120A" w:rsidRPr="00F55232" w:rsidRDefault="007F120A" w:rsidP="00520B7F">
            <w:pPr>
              <w:spacing w:before="0" w:after="0" w:line="220" w:lineRule="exact"/>
              <w:ind w:right="-91"/>
              <w:contextualSpacing/>
              <w:jc w:val="center"/>
              <w:rPr>
                <w:b/>
                <w:bCs/>
                <w:sz w:val="16"/>
                <w:szCs w:val="16"/>
                <w:lang w:val="en-GB"/>
              </w:rPr>
            </w:pPr>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in thousand</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first half of 2019=100</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in thousand</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first half of 2019=100</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in thousand</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first half of 2019=100</w:t>
            </w:r>
          </w:p>
        </w:tc>
      </w:tr>
      <w:tr w:rsidR="007F120A" w:rsidRPr="00F55232" w:rsidTr="00520B7F">
        <w:trPr>
          <w:trHeight w:val="397"/>
        </w:trPr>
        <w:tc>
          <w:tcPr>
            <w:tcW w:w="1183" w:type="pct"/>
            <w:tcBorders>
              <w:top w:val="single" w:sz="12" w:space="0" w:color="212492"/>
              <w:bottom w:val="single" w:sz="4" w:space="0" w:color="212492"/>
              <w:right w:val="single" w:sz="4" w:space="0" w:color="212492"/>
            </w:tcBorders>
            <w:vAlign w:val="center"/>
          </w:tcPr>
          <w:p w:rsidR="007F120A" w:rsidRPr="00F55232" w:rsidRDefault="007F120A" w:rsidP="00520B7F">
            <w:pPr>
              <w:contextualSpacing/>
              <w:rPr>
                <w:b/>
                <w:sz w:val="16"/>
                <w:szCs w:val="16"/>
                <w:lang w:val="en-GB"/>
              </w:rPr>
            </w:pPr>
            <w:r w:rsidRPr="00F55232">
              <w:rPr>
                <w:b/>
                <w:sz w:val="16"/>
                <w:szCs w:val="16"/>
                <w:lang w:val="en-GB"/>
              </w:rPr>
              <w:t>Poland</w:t>
            </w:r>
          </w:p>
        </w:tc>
        <w:tc>
          <w:tcPr>
            <w:tcW w:w="635" w:type="pct"/>
            <w:tcBorders>
              <w:top w:val="single" w:sz="12"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b/>
                <w:sz w:val="16"/>
                <w:szCs w:val="16"/>
                <w:lang w:val="en-GB"/>
              </w:rPr>
            </w:pPr>
            <w:r w:rsidRPr="00F55232">
              <w:rPr>
                <w:b/>
                <w:sz w:val="16"/>
                <w:szCs w:val="16"/>
                <w:lang w:val="en-GB"/>
              </w:rPr>
              <w:t>7339.1</w:t>
            </w:r>
          </w:p>
        </w:tc>
        <w:tc>
          <w:tcPr>
            <w:tcW w:w="636" w:type="pct"/>
            <w:tcBorders>
              <w:top w:val="single" w:sz="12"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b/>
                <w:sz w:val="16"/>
                <w:szCs w:val="16"/>
                <w:lang w:val="en-GB"/>
              </w:rPr>
            </w:pPr>
            <w:r w:rsidRPr="00F55232">
              <w:rPr>
                <w:b/>
                <w:sz w:val="16"/>
                <w:szCs w:val="16"/>
                <w:lang w:val="en-GB"/>
              </w:rPr>
              <w:t>45.7</w:t>
            </w:r>
          </w:p>
        </w:tc>
        <w:tc>
          <w:tcPr>
            <w:tcW w:w="636" w:type="pct"/>
            <w:tcBorders>
              <w:top w:val="single" w:sz="12"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b/>
                <w:sz w:val="16"/>
                <w:szCs w:val="16"/>
                <w:lang w:val="en-GB"/>
              </w:rPr>
            </w:pPr>
            <w:r w:rsidRPr="00F55232">
              <w:rPr>
                <w:b/>
                <w:sz w:val="16"/>
                <w:szCs w:val="16"/>
                <w:lang w:val="en-GB"/>
              </w:rPr>
              <w:t>6209.4</w:t>
            </w:r>
          </w:p>
        </w:tc>
        <w:tc>
          <w:tcPr>
            <w:tcW w:w="636" w:type="pct"/>
            <w:tcBorders>
              <w:top w:val="single" w:sz="12"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b/>
                <w:sz w:val="16"/>
                <w:szCs w:val="16"/>
                <w:lang w:val="en-GB"/>
              </w:rPr>
            </w:pPr>
            <w:r w:rsidRPr="00F55232">
              <w:rPr>
                <w:b/>
                <w:sz w:val="16"/>
                <w:szCs w:val="16"/>
                <w:lang w:val="en-GB"/>
              </w:rPr>
              <w:t>48.6</w:t>
            </w:r>
          </w:p>
        </w:tc>
        <w:tc>
          <w:tcPr>
            <w:tcW w:w="637" w:type="pct"/>
            <w:tcBorders>
              <w:top w:val="single" w:sz="12"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b/>
                <w:sz w:val="16"/>
                <w:szCs w:val="16"/>
                <w:lang w:val="en-GB"/>
              </w:rPr>
            </w:pPr>
            <w:r w:rsidRPr="00F55232">
              <w:rPr>
                <w:b/>
                <w:sz w:val="16"/>
                <w:szCs w:val="16"/>
                <w:lang w:val="en-GB"/>
              </w:rPr>
              <w:t>1129.6</w:t>
            </w:r>
          </w:p>
        </w:tc>
        <w:tc>
          <w:tcPr>
            <w:tcW w:w="637" w:type="pct"/>
            <w:tcBorders>
              <w:top w:val="single" w:sz="12" w:space="0" w:color="212492"/>
              <w:left w:val="single" w:sz="4" w:space="0" w:color="212492"/>
              <w:bottom w:val="single" w:sz="4" w:space="0" w:color="212492"/>
            </w:tcBorders>
            <w:vAlign w:val="center"/>
          </w:tcPr>
          <w:p w:rsidR="007F120A" w:rsidRPr="00F55232" w:rsidRDefault="007F120A" w:rsidP="00520B7F">
            <w:pPr>
              <w:contextualSpacing/>
              <w:jc w:val="right"/>
              <w:rPr>
                <w:b/>
                <w:sz w:val="16"/>
                <w:szCs w:val="16"/>
                <w:lang w:val="en-GB"/>
              </w:rPr>
            </w:pPr>
            <w:r w:rsidRPr="00F55232">
              <w:rPr>
                <w:b/>
                <w:sz w:val="16"/>
                <w:szCs w:val="16"/>
                <w:lang w:val="en-GB"/>
              </w:rPr>
              <w:t>34.5</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Dolnośląskie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877.8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47.6</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746.7</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50.1</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131.1</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37.0</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Kujawsko-pomorskie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289.8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46.6</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272.3</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47.7</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17.5</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34.1</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Lubelskie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220.5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44.1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202.6</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45.7</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17.8</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31.6</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Lubuskie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139.3</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44.1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108.8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47.5</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30.5</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35.1</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Łódzkie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285.0</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42.0</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251.1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43.1</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33.9</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35.5</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Małopolskie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1166.2</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45.6</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923.3</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50.3</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242.9</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33.6</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Mazowieckie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1045.6</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40.1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816.2</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43.1</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229.4</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32.4</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Opolskie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87.3</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42.8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76.1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43.5</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11.3</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38.2</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Podkarpackie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277.6</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48.9</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251.1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50.2</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26.5</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39.4</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Podlaskie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139.1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47.0</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116.5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50.1</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22.6</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35.7</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Pomorskie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659.5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49.8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579.5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54.2</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80.0</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31.4</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Śląskie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622.4</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46.2</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552.0</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48.0</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70.4</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35.6</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Świętokrzyskie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132.4</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42.2</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125.5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42.6</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6.9</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36.5</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Warmińsko-mazurskie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276.8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48.6</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260.3</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51.3</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16.5</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26.5</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Wielkopolskie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424.5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42.8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373.5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43.5</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51.0</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37.9</w:t>
            </w:r>
          </w:p>
        </w:tc>
      </w:tr>
      <w:tr w:rsidR="007F120A" w:rsidRPr="00F55232" w:rsidTr="00520B7F">
        <w:trPr>
          <w:trHeight w:val="397"/>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Zachodniopomorskie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695.2</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52.6</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553.9</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58.2</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141.4</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38.1</w:t>
            </w:r>
          </w:p>
        </w:tc>
      </w:tr>
    </w:tbl>
    <w:p w:rsidR="007F120A" w:rsidRPr="00F55232" w:rsidRDefault="00283996" w:rsidP="007F120A">
      <w:pPr>
        <w:pStyle w:val="LID"/>
        <w:spacing w:before="0" w:after="0"/>
        <w:rPr>
          <w:b w:val="0"/>
          <w:noProof w:val="0"/>
          <w:lang w:val="en-GB"/>
        </w:rPr>
      </w:pPr>
      <w:r w:rsidRPr="00F55232">
        <w:rPr>
          <w:b w:val="0"/>
        </w:rPr>
        <mc:AlternateContent>
          <mc:Choice Requires="wps">
            <w:drawing>
              <wp:anchor distT="45720" distB="45720" distL="114300" distR="114300" simplePos="0" relativeHeight="251780096" behindDoc="1" locked="0" layoutInCell="1" allowOverlap="1" wp14:anchorId="215F3F7C" wp14:editId="5E134E23">
                <wp:simplePos x="0" y="0"/>
                <wp:positionH relativeFrom="rightMargin">
                  <wp:posOffset>85090</wp:posOffset>
                </wp:positionH>
                <wp:positionV relativeFrom="paragraph">
                  <wp:posOffset>152400</wp:posOffset>
                </wp:positionV>
                <wp:extent cx="1743075" cy="1001395"/>
                <wp:effectExtent l="0" t="0" r="0" b="0"/>
                <wp:wrapTight wrapText="bothSides">
                  <wp:wrapPolygon edited="0">
                    <wp:start x="708" y="0"/>
                    <wp:lineTo x="708" y="20956"/>
                    <wp:lineTo x="20774" y="20956"/>
                    <wp:lineTo x="20774" y="0"/>
                    <wp:lineTo x="708"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01395"/>
                        </a:xfrm>
                        <a:prstGeom prst="rect">
                          <a:avLst/>
                        </a:prstGeom>
                        <a:noFill/>
                        <a:ln w="9525">
                          <a:noFill/>
                          <a:miter lim="800000"/>
                          <a:headEnd/>
                          <a:tailEnd/>
                        </a:ln>
                      </wps:spPr>
                      <wps:txbx>
                        <w:txbxContent>
                          <w:p w:rsidR="00283996" w:rsidRPr="00F55232" w:rsidRDefault="00283996" w:rsidP="00283996">
                            <w:pPr>
                              <w:pStyle w:val="tekstzboku"/>
                              <w:spacing w:before="0"/>
                              <w:ind w:right="-57"/>
                              <w:rPr>
                                <w:b/>
                                <w:lang w:val="en-GB"/>
                              </w:rPr>
                            </w:pPr>
                            <w:r w:rsidRPr="00F55232">
                              <w:rPr>
                                <w:lang w:val="en-GB"/>
                              </w:rPr>
                              <w:t>In the first half of 2020, 65.5% less foreign tourists were accommodated in tourist accommodation establishments than in the same period of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F3F7C" id="_x0000_s1029" type="#_x0000_t202" style="position:absolute;margin-left:6.7pt;margin-top:12pt;width:137.25pt;height:78.85pt;z-index:-2515363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" filled="f" stroked="f">
                <v:textbox>
                  <w:txbxContent>
                    <w:p w:rsidR="00283996" w:rsidRPr="00F55232" w:rsidRDefault="00283996" w:rsidP="00283996">
                      <w:pPr>
                        <w:pStyle w:val="tekstzboku"/>
                        <w:spacing w:before="0"/>
                        <w:ind w:right="-57"/>
                        <w:rPr>
                          <w:b/>
                          <w:lang w:val="en-GB"/>
                        </w:rPr>
                      </w:pPr>
                      <w:r w:rsidRPr="00F55232">
                        <w:rPr>
                          <w:lang w:val="en-GB"/>
                        </w:rPr>
                        <w:t>In the first half of 2020, 65.5% less foreign tourists were accommodated in tourist accommodation establishments than in the same period of 2019</w:t>
                      </w:r>
                    </w:p>
                  </w:txbxContent>
                </v:textbox>
                <w10:wrap type="tight" anchorx="margin"/>
              </v:shape>
            </w:pict>
          </mc:Fallback>
        </mc:AlternateContent>
      </w:r>
    </w:p>
    <w:p w:rsidR="00283996" w:rsidRPr="00283996" w:rsidRDefault="00283996" w:rsidP="00283996">
      <w:pPr>
        <w:pStyle w:val="LID"/>
        <w:spacing w:after="0"/>
        <w:rPr>
          <w:b w:val="0"/>
          <w:lang w:val="en-GB"/>
        </w:rPr>
      </w:pPr>
      <w:r w:rsidRPr="00283996">
        <w:rPr>
          <w:b w:val="0"/>
          <w:lang w:val="en-GB"/>
        </w:rPr>
        <w:t>Among the total number of tourists accommodated in the first half of this year, 84.6% were domestic tourists (6.2 million) and 15.4% were foreign tourists (1.1 million), and in compar-ison with the corresponding period of last year, this was less by 51.5% and 65.5% respec-tively. The overall number of foreign tourists was dominated by European tourists – 966</w:t>
      </w:r>
      <w:r w:rsidR="006C2208">
        <w:rPr>
          <w:b w:val="0"/>
          <w:lang w:val="en-GB"/>
        </w:rPr>
        <w:t> </w:t>
      </w:r>
      <w:r w:rsidRPr="00283996">
        <w:rPr>
          <w:b w:val="0"/>
          <w:lang w:val="en-GB"/>
        </w:rPr>
        <w:t>thousand (85.5%), of which the largest number came from Germany (270 thousand), Great</w:t>
      </w:r>
      <w:r w:rsidR="006C2208">
        <w:rPr>
          <w:b w:val="0"/>
          <w:lang w:val="en-GB"/>
        </w:rPr>
        <w:t> </w:t>
      </w:r>
      <w:r w:rsidRPr="00283996">
        <w:rPr>
          <w:b w:val="0"/>
          <w:lang w:val="en-GB"/>
        </w:rPr>
        <w:t>Britain (122 thousand) and France and Italy (over 30 thousand each).</w:t>
      </w:r>
    </w:p>
    <w:p w:rsidR="007F120A" w:rsidRPr="00283996" w:rsidRDefault="00283996" w:rsidP="00283996">
      <w:pPr>
        <w:pStyle w:val="LID"/>
        <w:spacing w:after="0"/>
        <w:rPr>
          <w:b w:val="0"/>
          <w:noProof w:val="0"/>
          <w:lang w:val="en-GB"/>
        </w:rPr>
      </w:pPr>
      <w:r w:rsidRPr="00283996">
        <w:rPr>
          <w:b w:val="0"/>
          <w:lang w:val="en-GB"/>
        </w:rPr>
        <w:t>In the period January-June 2020, 19.4 million overnight stays were provided, i.e. 51.4% less than in the first half of last year.  Half of the overnight stays were provided in hotels - 9.9</w:t>
      </w:r>
      <w:r w:rsidR="006C2208">
        <w:rPr>
          <w:b w:val="0"/>
          <w:lang w:val="en-GB"/>
        </w:rPr>
        <w:t> </w:t>
      </w:r>
      <w:r w:rsidRPr="00283996">
        <w:rPr>
          <w:b w:val="0"/>
          <w:lang w:val="en-GB"/>
        </w:rPr>
        <w:t>million; in health establishments 2.4 million overnight stays were provided for tourists, in</w:t>
      </w:r>
      <w:r w:rsidR="006C2208">
        <w:rPr>
          <w:b w:val="0"/>
          <w:lang w:val="en-GB"/>
        </w:rPr>
        <w:t> </w:t>
      </w:r>
      <w:r w:rsidRPr="00283996">
        <w:rPr>
          <w:b w:val="0"/>
          <w:lang w:val="en-GB"/>
        </w:rPr>
        <w:t>holiday centres and other hotel establishments 1.7 million each.</w:t>
      </w:r>
    </w:p>
    <w:p w:rsidR="007F120A" w:rsidRDefault="00283996" w:rsidP="007F120A">
      <w:pPr>
        <w:pStyle w:val="LID"/>
        <w:spacing w:after="0"/>
        <w:rPr>
          <w:noProof w:val="0"/>
          <w:sz w:val="18"/>
          <w:szCs w:val="18"/>
          <w:lang w:val="en-GB"/>
        </w:rPr>
      </w:pPr>
      <w:r w:rsidRPr="00F55232">
        <w:rPr>
          <w:sz w:val="18"/>
        </w:rPr>
        <w:lastRenderedPageBreak/>
        <mc:AlternateContent>
          <mc:Choice Requires="wps">
            <w:drawing>
              <wp:anchor distT="45720" distB="45720" distL="114300" distR="114300" simplePos="0" relativeHeight="251782144" behindDoc="1" locked="0" layoutInCell="1" allowOverlap="1" wp14:anchorId="60E056DF" wp14:editId="19719237">
                <wp:simplePos x="0" y="0"/>
                <wp:positionH relativeFrom="rightMargin">
                  <wp:posOffset>85090</wp:posOffset>
                </wp:positionH>
                <wp:positionV relativeFrom="paragraph">
                  <wp:posOffset>2977515</wp:posOffset>
                </wp:positionV>
                <wp:extent cx="1743075" cy="563880"/>
                <wp:effectExtent l="0" t="0" r="0" b="0"/>
                <wp:wrapTight wrapText="bothSides">
                  <wp:wrapPolygon edited="0">
                    <wp:start x="708" y="0"/>
                    <wp:lineTo x="708" y="20432"/>
                    <wp:lineTo x="20774" y="20432"/>
                    <wp:lineTo x="20774" y="0"/>
                    <wp:lineTo x="708" y="0"/>
                  </wp:wrapPolygon>
                </wp:wrapTight>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3880"/>
                        </a:xfrm>
                        <a:prstGeom prst="rect">
                          <a:avLst/>
                        </a:prstGeom>
                        <a:noFill/>
                        <a:ln w="9525">
                          <a:noFill/>
                          <a:miter lim="800000"/>
                          <a:headEnd/>
                          <a:tailEnd/>
                        </a:ln>
                      </wps:spPr>
                      <wps:txbx>
                        <w:txbxContent>
                          <w:p w:rsidR="00283996" w:rsidRPr="00F55232" w:rsidRDefault="00283996" w:rsidP="00283996">
                            <w:pPr>
                              <w:pStyle w:val="tekstzboku"/>
                              <w:spacing w:before="0"/>
                              <w:ind w:right="-57"/>
                              <w:rPr>
                                <w:b/>
                                <w:lang w:val="en-GB"/>
                              </w:rPr>
                            </w:pPr>
                            <w:r w:rsidRPr="00F55232">
                              <w:rPr>
                                <w:lang w:val="en-GB"/>
                              </w:rPr>
                              <w:t>In the first half of this year, 2.6 overnight stays were provided for tourists on average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056DF" id="_x0000_s1030" type="#_x0000_t202" style="position:absolute;margin-left:6.7pt;margin-top:234.45pt;width:137.25pt;height:44.4pt;z-index:-2515343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" filled="f" stroked="f">
                <v:textbox>
                  <w:txbxContent>
                    <w:p w:rsidR="00283996" w:rsidRPr="00F55232" w:rsidRDefault="00283996" w:rsidP="00283996">
                      <w:pPr>
                        <w:pStyle w:val="tekstzboku"/>
                        <w:spacing w:before="0"/>
                        <w:ind w:right="-57"/>
                        <w:rPr>
                          <w:b/>
                          <w:lang w:val="en-GB"/>
                        </w:rPr>
                      </w:pPr>
                      <w:r w:rsidRPr="00F55232">
                        <w:rPr>
                          <w:lang w:val="en-GB"/>
                        </w:rPr>
                        <w:t>In the first half of this year, 2.6 overnight stays were provided for tourists on average</w:t>
                      </w:r>
                    </w:p>
                  </w:txbxContent>
                </v:textbox>
                <w10:wrap type="tight" anchorx="margin"/>
              </v:shape>
            </w:pict>
          </mc:Fallback>
        </mc:AlternateContent>
      </w:r>
      <w:r w:rsidR="00A74C4E">
        <w:drawing>
          <wp:anchor distT="0" distB="0" distL="114300" distR="114300" simplePos="0" relativeHeight="251776000" behindDoc="0" locked="0" layoutInCell="1" allowOverlap="1">
            <wp:simplePos x="0" y="0"/>
            <wp:positionH relativeFrom="column">
              <wp:posOffset>-99695</wp:posOffset>
            </wp:positionH>
            <wp:positionV relativeFrom="paragraph">
              <wp:posOffset>212090</wp:posOffset>
            </wp:positionV>
            <wp:extent cx="5207635" cy="2771775"/>
            <wp:effectExtent l="0" t="0" r="0" b="0"/>
            <wp:wrapTopAndBottom/>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r w:rsidR="007F120A" w:rsidRPr="00F55232">
        <w:rPr>
          <w:noProof w:val="0"/>
          <w:lang w:val="en-GB"/>
        </w:rPr>
        <w:t>Chart</w:t>
      </w:r>
      <w:r w:rsidR="007F120A" w:rsidRPr="00F55232">
        <w:rPr>
          <w:noProof w:val="0"/>
          <w:sz w:val="18"/>
          <w:szCs w:val="18"/>
          <w:lang w:val="en-GB"/>
        </w:rPr>
        <w:t xml:space="preserve"> 2. </w:t>
      </w:r>
      <w:r w:rsidRPr="00283996">
        <w:rPr>
          <w:noProof w:val="0"/>
          <w:sz w:val="18"/>
          <w:szCs w:val="18"/>
          <w:lang w:val="en-GB"/>
        </w:rPr>
        <w:t>Overnight stays in tourist accommodation establishments</w:t>
      </w:r>
    </w:p>
    <w:p w:rsidR="00283996" w:rsidRPr="00F55232" w:rsidRDefault="00283996" w:rsidP="00283996">
      <w:pPr>
        <w:rPr>
          <w:b/>
          <w:lang w:val="en-GB" w:eastAsia="pl-PL"/>
        </w:rPr>
      </w:pPr>
      <w:r w:rsidRPr="00F55232">
        <w:rPr>
          <w:sz w:val="18"/>
          <w:lang w:val="en-GB"/>
        </w:rPr>
        <w:t>On average, 2.6 overnight stays were provided for tourists, including much shorter stays in motels, shelters and hotels (about 2 overnight stays).  The longest stays were recorded in health establishments - almost 11 overnight stays on average and in holiday and holiday youth centres - about 5 overnight stays</w:t>
      </w:r>
      <w:r w:rsidRPr="00F55232">
        <w:rPr>
          <w:b/>
          <w:lang w:val="en-GB" w:eastAsia="pl-PL"/>
        </w:rPr>
        <w:t>.</w:t>
      </w:r>
    </w:p>
    <w:p w:rsidR="00283996" w:rsidRPr="00F55232" w:rsidRDefault="00283996" w:rsidP="00283996">
      <w:pPr>
        <w:rPr>
          <w:sz w:val="18"/>
          <w:lang w:val="en-GB"/>
        </w:rPr>
      </w:pPr>
      <w:r w:rsidRPr="00F55232">
        <w:rPr>
          <w:sz w:val="18"/>
          <w:lang w:val="en-GB"/>
        </w:rPr>
        <w:t>16.3 million overnight stays were provided for domestic tourists, i.e. 48.8% less than last year, and</w:t>
      </w:r>
      <w:r>
        <w:rPr>
          <w:sz w:val="18"/>
          <w:lang w:val="en-GB"/>
        </w:rPr>
        <w:t> </w:t>
      </w:r>
      <w:r w:rsidRPr="00F55232">
        <w:rPr>
          <w:sz w:val="18"/>
          <w:lang w:val="en-GB"/>
        </w:rPr>
        <w:t>3.1 million for foreign tourists, i.e. 62% less.</w:t>
      </w:r>
    </w:p>
    <w:p w:rsidR="00283996" w:rsidRPr="00F55232" w:rsidRDefault="00283996" w:rsidP="00283996">
      <w:pPr>
        <w:pStyle w:val="LID"/>
        <w:spacing w:after="0"/>
        <w:rPr>
          <w:b w:val="0"/>
          <w:noProof w:val="0"/>
          <w:lang w:val="en-GB"/>
        </w:rPr>
      </w:pPr>
    </w:p>
    <w:p w:rsidR="00283996" w:rsidRPr="00F55232" w:rsidRDefault="00283996" w:rsidP="00283996">
      <w:pPr>
        <w:pStyle w:val="LID"/>
        <w:spacing w:before="0" w:after="0"/>
        <w:ind w:left="851" w:hanging="851"/>
        <w:rPr>
          <w:noProof w:val="0"/>
          <w:sz w:val="18"/>
          <w:szCs w:val="18"/>
          <w:lang w:val="en-GB"/>
        </w:rPr>
      </w:pPr>
      <w:r w:rsidRPr="00F55232">
        <w:rPr>
          <w:noProof w:val="0"/>
          <w:sz w:val="18"/>
          <w:szCs w:val="18"/>
          <w:lang w:val="en-GB"/>
        </w:rPr>
        <w:t xml:space="preserve">Table 2. Overnight stays </w:t>
      </w:r>
      <w:r>
        <w:rPr>
          <w:noProof w:val="0"/>
          <w:sz w:val="18"/>
          <w:szCs w:val="18"/>
          <w:lang w:val="en-GB"/>
        </w:rPr>
        <w:t>in</w:t>
      </w:r>
      <w:r w:rsidRPr="00F55232">
        <w:rPr>
          <w:noProof w:val="0"/>
          <w:sz w:val="18"/>
          <w:szCs w:val="18"/>
          <w:lang w:val="en-GB"/>
        </w:rPr>
        <w:t xml:space="preserve"> tourist accommodation establishments during the first half of 2020</w:t>
      </w:r>
    </w:p>
    <w:p w:rsidR="007F120A" w:rsidRPr="00F55232" w:rsidRDefault="007F120A" w:rsidP="007F120A">
      <w:pPr>
        <w:pStyle w:val="LID"/>
        <w:spacing w:before="0" w:after="0"/>
        <w:rPr>
          <w:b w:val="0"/>
          <w:noProof w:val="0"/>
          <w:lang w:val="en-GB"/>
        </w:rPr>
      </w:pPr>
    </w:p>
    <w:tbl>
      <w:tblPr>
        <w:tblStyle w:val="Tabela-Siatka"/>
        <w:tblW w:w="5000" w:type="pct"/>
        <w:tblBorders>
          <w:top w:val="single" w:sz="4" w:space="0" w:color="002060"/>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1908"/>
        <w:gridCol w:w="1025"/>
        <w:gridCol w:w="1026"/>
        <w:gridCol w:w="1026"/>
        <w:gridCol w:w="1026"/>
        <w:gridCol w:w="1028"/>
        <w:gridCol w:w="1028"/>
      </w:tblGrid>
      <w:tr w:rsidR="007F120A" w:rsidRPr="00F55232" w:rsidTr="00520B7F">
        <w:trPr>
          <w:trHeight w:val="397"/>
        </w:trPr>
        <w:tc>
          <w:tcPr>
            <w:tcW w:w="1183" w:type="pct"/>
            <w:vMerge w:val="restart"/>
            <w:tcBorders>
              <w:top w:val="nil"/>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Voivodship</w:t>
            </w:r>
            <w:r w:rsidRPr="00F55232">
              <w:rPr>
                <w:sz w:val="16"/>
                <w:szCs w:val="16"/>
                <w:lang w:val="en-GB"/>
              </w:rPr>
              <w:tab/>
            </w:r>
          </w:p>
        </w:tc>
        <w:tc>
          <w:tcPr>
            <w:tcW w:w="1271" w:type="pct"/>
            <w:gridSpan w:val="2"/>
            <w:tcBorders>
              <w:top w:val="nil"/>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Total</w:t>
            </w:r>
          </w:p>
        </w:tc>
        <w:tc>
          <w:tcPr>
            <w:tcW w:w="1272" w:type="pct"/>
            <w:gridSpan w:val="2"/>
            <w:tcBorders>
              <w:top w:val="nil"/>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Domestic tourists</w:t>
            </w:r>
          </w:p>
        </w:tc>
        <w:tc>
          <w:tcPr>
            <w:tcW w:w="1274" w:type="pct"/>
            <w:gridSpan w:val="2"/>
            <w:tcBorders>
              <w:top w:val="nil"/>
              <w:left w:val="single" w:sz="4" w:space="0" w:color="212492"/>
              <w:bottom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Foreign tourists</w:t>
            </w:r>
          </w:p>
        </w:tc>
      </w:tr>
      <w:tr w:rsidR="007F120A" w:rsidRPr="00F55232" w:rsidTr="00520B7F">
        <w:trPr>
          <w:trHeight w:val="397"/>
        </w:trPr>
        <w:tc>
          <w:tcPr>
            <w:tcW w:w="1183" w:type="pct"/>
            <w:vMerge/>
            <w:tcBorders>
              <w:bottom w:val="single" w:sz="4" w:space="0" w:color="212492"/>
              <w:right w:val="single" w:sz="4" w:space="0" w:color="212492"/>
            </w:tcBorders>
            <w:vAlign w:val="center"/>
          </w:tcPr>
          <w:p w:rsidR="007F120A" w:rsidRPr="00F55232" w:rsidRDefault="007F120A" w:rsidP="00520B7F">
            <w:pPr>
              <w:spacing w:before="0" w:after="0" w:line="220" w:lineRule="exact"/>
              <w:ind w:right="-91"/>
              <w:contextualSpacing/>
              <w:jc w:val="center"/>
              <w:rPr>
                <w:b/>
                <w:bCs/>
                <w:sz w:val="16"/>
                <w:szCs w:val="16"/>
                <w:lang w:val="en-GB"/>
              </w:rPr>
            </w:pPr>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in thousand</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first half of 2019=100</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in thousand</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first half of 2019=100</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in thousand</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spacing w:before="0" w:after="0" w:line="220" w:lineRule="exact"/>
              <w:contextualSpacing/>
              <w:jc w:val="center"/>
              <w:rPr>
                <w:sz w:val="16"/>
                <w:szCs w:val="16"/>
                <w:lang w:val="en-GB"/>
              </w:rPr>
            </w:pPr>
            <w:r w:rsidRPr="00F55232">
              <w:rPr>
                <w:sz w:val="16"/>
                <w:szCs w:val="16"/>
                <w:lang w:val="en-GB"/>
              </w:rPr>
              <w:t>first half of 2019=100</w:t>
            </w:r>
          </w:p>
        </w:tc>
      </w:tr>
      <w:tr w:rsidR="007F120A" w:rsidRPr="00F55232" w:rsidTr="00520B7F">
        <w:trPr>
          <w:trHeight w:val="340"/>
        </w:trPr>
        <w:tc>
          <w:tcPr>
            <w:tcW w:w="1183" w:type="pct"/>
            <w:tcBorders>
              <w:top w:val="single" w:sz="12" w:space="0" w:color="212492"/>
              <w:bottom w:val="single" w:sz="4" w:space="0" w:color="212492"/>
              <w:right w:val="single" w:sz="4" w:space="0" w:color="212492"/>
            </w:tcBorders>
            <w:vAlign w:val="center"/>
          </w:tcPr>
          <w:p w:rsidR="007F120A" w:rsidRPr="00F55232" w:rsidRDefault="007F120A" w:rsidP="00520B7F">
            <w:pPr>
              <w:contextualSpacing/>
              <w:rPr>
                <w:b/>
                <w:sz w:val="16"/>
                <w:szCs w:val="16"/>
                <w:lang w:val="en-GB"/>
              </w:rPr>
            </w:pPr>
            <w:r w:rsidRPr="00F55232">
              <w:rPr>
                <w:b/>
                <w:sz w:val="16"/>
                <w:szCs w:val="16"/>
                <w:lang w:val="en-GB"/>
              </w:rPr>
              <w:t>Poland</w:t>
            </w:r>
          </w:p>
        </w:tc>
        <w:tc>
          <w:tcPr>
            <w:tcW w:w="635" w:type="pct"/>
            <w:tcBorders>
              <w:top w:val="single" w:sz="12"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b/>
                <w:sz w:val="16"/>
                <w:szCs w:val="16"/>
                <w:lang w:val="en-GB"/>
              </w:rPr>
            </w:pPr>
            <w:r w:rsidRPr="00F55232">
              <w:rPr>
                <w:b/>
                <w:sz w:val="16"/>
                <w:szCs w:val="16"/>
                <w:lang w:val="en-GB"/>
              </w:rPr>
              <w:t>19425.5</w:t>
            </w:r>
          </w:p>
        </w:tc>
        <w:tc>
          <w:tcPr>
            <w:tcW w:w="636" w:type="pct"/>
            <w:tcBorders>
              <w:top w:val="single" w:sz="12"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b/>
                <w:sz w:val="16"/>
                <w:szCs w:val="16"/>
                <w:lang w:val="en-GB"/>
              </w:rPr>
            </w:pPr>
            <w:r w:rsidRPr="00F55232">
              <w:rPr>
                <w:b/>
                <w:sz w:val="16"/>
                <w:szCs w:val="16"/>
                <w:lang w:val="en-GB"/>
              </w:rPr>
              <w:t>48.5</w:t>
            </w:r>
          </w:p>
        </w:tc>
        <w:tc>
          <w:tcPr>
            <w:tcW w:w="636" w:type="pct"/>
            <w:tcBorders>
              <w:top w:val="single" w:sz="12"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b/>
                <w:sz w:val="16"/>
                <w:szCs w:val="16"/>
                <w:lang w:val="en-GB"/>
              </w:rPr>
            </w:pPr>
            <w:r w:rsidRPr="00F55232">
              <w:rPr>
                <w:b/>
                <w:sz w:val="16"/>
                <w:szCs w:val="16"/>
                <w:lang w:val="en-GB"/>
              </w:rPr>
              <w:t>16335.3</w:t>
            </w:r>
          </w:p>
        </w:tc>
        <w:tc>
          <w:tcPr>
            <w:tcW w:w="636" w:type="pct"/>
            <w:tcBorders>
              <w:top w:val="single" w:sz="12"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b/>
                <w:sz w:val="16"/>
                <w:szCs w:val="16"/>
                <w:lang w:val="en-GB"/>
              </w:rPr>
            </w:pPr>
            <w:r w:rsidRPr="00F55232">
              <w:rPr>
                <w:b/>
                <w:sz w:val="16"/>
                <w:szCs w:val="16"/>
                <w:lang w:val="en-GB"/>
              </w:rPr>
              <w:t>51.2</w:t>
            </w:r>
          </w:p>
        </w:tc>
        <w:tc>
          <w:tcPr>
            <w:tcW w:w="637" w:type="pct"/>
            <w:tcBorders>
              <w:top w:val="single" w:sz="12"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b/>
                <w:sz w:val="16"/>
                <w:szCs w:val="16"/>
                <w:lang w:val="en-GB"/>
              </w:rPr>
            </w:pPr>
            <w:r w:rsidRPr="00F55232">
              <w:rPr>
                <w:b/>
                <w:sz w:val="16"/>
                <w:szCs w:val="16"/>
                <w:lang w:val="en-GB"/>
              </w:rPr>
              <w:t>3090.2</w:t>
            </w:r>
          </w:p>
        </w:tc>
        <w:tc>
          <w:tcPr>
            <w:tcW w:w="637" w:type="pct"/>
            <w:tcBorders>
              <w:top w:val="single" w:sz="12" w:space="0" w:color="212492"/>
              <w:left w:val="single" w:sz="4" w:space="0" w:color="212492"/>
              <w:bottom w:val="single" w:sz="4" w:space="0" w:color="212492"/>
            </w:tcBorders>
            <w:vAlign w:val="center"/>
          </w:tcPr>
          <w:p w:rsidR="007F120A" w:rsidRPr="00F55232" w:rsidRDefault="007F120A" w:rsidP="00520B7F">
            <w:pPr>
              <w:contextualSpacing/>
              <w:jc w:val="right"/>
              <w:rPr>
                <w:b/>
                <w:sz w:val="16"/>
                <w:szCs w:val="16"/>
                <w:lang w:val="en-GB"/>
              </w:rPr>
            </w:pPr>
            <w:r w:rsidRPr="00F55232">
              <w:rPr>
                <w:b/>
                <w:sz w:val="16"/>
                <w:szCs w:val="16"/>
                <w:lang w:val="en-GB"/>
              </w:rPr>
              <w:t>38.0</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Dolnośląskie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2297.4</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51.3</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2029.4</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54.1</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268.0</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36.5</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Kujawsko-pomorskie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965.3</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46.1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912.4</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46.7</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52.8</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38.3</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Lubelskie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469.7</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47.5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438.2</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49.0</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31.5</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32.9</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Lubuskie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298.8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52.3</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234.5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54.6</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64.3</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45.3</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Łódzkie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597.8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46.4</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475.2</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46.2</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122.6</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47.1</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Małopolskie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3354.8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49.6</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2727.7</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54.6</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627.2</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35.4</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Mazowieckie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2011.7</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44.8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1489.1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48.0</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522.6</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37.6</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Opolskie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196.6</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46.3</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167.9</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45.5</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28.7</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51.5</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Podkarpackie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780.8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51.3</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729.0</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52.2</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51.8</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41.9</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Podlaskie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265.5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49.6</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233.2</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51.9</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32.3</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37.5</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Pomorskie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1817.3</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49.5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1580.1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52.7</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237.2</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35.5</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Śląskie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1539.1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51.1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1354.8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52.6</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184.4</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42.0</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Świętokrzyskie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426.8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46.9</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402.5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47.2</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24.3</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42.1</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Warmińsko-mazurskie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627.7</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49.8</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592.7</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52.9</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35.0</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24.7</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Wielkopolskie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816.5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47.5</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668.4</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47.2</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148.0</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48.9</w:t>
            </w:r>
          </w:p>
        </w:tc>
      </w:tr>
      <w:tr w:rsidR="007F120A" w:rsidRPr="00F55232" w:rsidTr="00520B7F">
        <w:trPr>
          <w:trHeight w:val="340"/>
        </w:trPr>
        <w:tc>
          <w:tcPr>
            <w:tcW w:w="1183" w:type="pct"/>
            <w:tcBorders>
              <w:top w:val="single" w:sz="4" w:space="0" w:color="212492"/>
              <w:bottom w:val="single" w:sz="4" w:space="0" w:color="212492"/>
              <w:right w:val="single" w:sz="4" w:space="0" w:color="212492"/>
            </w:tcBorders>
            <w:vAlign w:val="center"/>
          </w:tcPr>
          <w:p w:rsidR="007F120A" w:rsidRPr="00F55232" w:rsidRDefault="007F120A" w:rsidP="00520B7F">
            <w:pPr>
              <w:contextualSpacing/>
              <w:rPr>
                <w:sz w:val="16"/>
                <w:szCs w:val="16"/>
                <w:lang w:val="en-GB"/>
              </w:rPr>
            </w:pPr>
            <w:proofErr w:type="spellStart"/>
            <w:r w:rsidRPr="00F55232">
              <w:rPr>
                <w:sz w:val="16"/>
                <w:szCs w:val="16"/>
                <w:lang w:val="en-GB"/>
              </w:rPr>
              <w:t>Zachodniopomorskie</w:t>
            </w:r>
            <w:proofErr w:type="spellEnd"/>
          </w:p>
        </w:tc>
        <w:tc>
          <w:tcPr>
            <w:tcW w:w="635"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2959.7</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47.1</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2300.3</w:t>
            </w:r>
          </w:p>
        </w:tc>
        <w:tc>
          <w:tcPr>
            <w:tcW w:w="636"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50.6</w:t>
            </w:r>
          </w:p>
        </w:tc>
        <w:tc>
          <w:tcPr>
            <w:tcW w:w="637" w:type="pct"/>
            <w:tcBorders>
              <w:top w:val="single" w:sz="4" w:space="0" w:color="212492"/>
              <w:left w:val="single" w:sz="4" w:space="0" w:color="212492"/>
              <w:bottom w:val="single" w:sz="4" w:space="0" w:color="212492"/>
              <w:right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659.4</w:t>
            </w:r>
          </w:p>
        </w:tc>
        <w:tc>
          <w:tcPr>
            <w:tcW w:w="637" w:type="pct"/>
            <w:tcBorders>
              <w:top w:val="single" w:sz="4" w:space="0" w:color="212492"/>
              <w:left w:val="single" w:sz="4" w:space="0" w:color="212492"/>
              <w:bottom w:val="single" w:sz="4" w:space="0" w:color="212492"/>
            </w:tcBorders>
            <w:vAlign w:val="center"/>
          </w:tcPr>
          <w:p w:rsidR="007F120A" w:rsidRPr="00F55232" w:rsidRDefault="007F120A" w:rsidP="00520B7F">
            <w:pPr>
              <w:contextualSpacing/>
              <w:jc w:val="right"/>
              <w:rPr>
                <w:sz w:val="16"/>
                <w:szCs w:val="16"/>
                <w:lang w:val="en-GB"/>
              </w:rPr>
            </w:pPr>
            <w:r w:rsidRPr="00F55232">
              <w:rPr>
                <w:sz w:val="16"/>
                <w:szCs w:val="16"/>
                <w:lang w:val="en-GB"/>
              </w:rPr>
              <w:t>38.0</w:t>
            </w:r>
          </w:p>
        </w:tc>
      </w:tr>
    </w:tbl>
    <w:p w:rsidR="00283996" w:rsidRPr="00F55232" w:rsidRDefault="00283996" w:rsidP="00283996">
      <w:pPr>
        <w:spacing w:after="0"/>
        <w:rPr>
          <w:lang w:val="en-GB"/>
        </w:rPr>
      </w:pPr>
      <w:r w:rsidRPr="00F55232">
        <w:rPr>
          <w:noProof/>
          <w:lang w:eastAsia="pl-PL"/>
        </w:rPr>
        <w:lastRenderedPageBreak/>
        <mc:AlternateContent>
          <mc:Choice Requires="wps">
            <w:drawing>
              <wp:anchor distT="45720" distB="45720" distL="114300" distR="114300" simplePos="0" relativeHeight="251784192" behindDoc="1" locked="0" layoutInCell="1" allowOverlap="1" wp14:anchorId="01985A26" wp14:editId="4CC70812">
                <wp:simplePos x="0" y="0"/>
                <wp:positionH relativeFrom="margin">
                  <wp:posOffset>5210175</wp:posOffset>
                </wp:positionH>
                <wp:positionV relativeFrom="paragraph">
                  <wp:posOffset>193</wp:posOffset>
                </wp:positionV>
                <wp:extent cx="1743075" cy="1178560"/>
                <wp:effectExtent l="0" t="0" r="0" b="2540"/>
                <wp:wrapTight wrapText="bothSides">
                  <wp:wrapPolygon edited="0">
                    <wp:start x="708" y="0"/>
                    <wp:lineTo x="708" y="21297"/>
                    <wp:lineTo x="20774" y="21297"/>
                    <wp:lineTo x="20774" y="0"/>
                    <wp:lineTo x="708" y="0"/>
                  </wp:wrapPolygon>
                </wp:wrapTight>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178560"/>
                        </a:xfrm>
                        <a:prstGeom prst="rect">
                          <a:avLst/>
                        </a:prstGeom>
                        <a:noFill/>
                        <a:ln w="9525">
                          <a:noFill/>
                          <a:miter lim="800000"/>
                          <a:headEnd/>
                          <a:tailEnd/>
                        </a:ln>
                      </wps:spPr>
                      <wps:txbx>
                        <w:txbxContent>
                          <w:p w:rsidR="00283996" w:rsidRPr="00F55232" w:rsidRDefault="00283996" w:rsidP="00283996">
                            <w:pPr>
                              <w:pStyle w:val="tekstzboku"/>
                              <w:spacing w:before="0"/>
                              <w:ind w:right="-57"/>
                              <w:rPr>
                                <w:b/>
                                <w:lang w:val="en-GB"/>
                              </w:rPr>
                            </w:pPr>
                            <w:r w:rsidRPr="00F55232">
                              <w:rPr>
                                <w:lang w:val="en-GB"/>
                              </w:rPr>
                              <w:t>In the first half of 2020, the occupancy rate of bed places was 23.8%, i.e. 13.8 p.p. less than in the corresponding period last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85A26" id="_x0000_s1031" type="#_x0000_t202" style="position:absolute;margin-left:410.25pt;margin-top:0;width:137.25pt;height:92.8pt;z-index:-251532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" filled="f" stroked="f">
                <v:textbox>
                  <w:txbxContent>
                    <w:p w:rsidR="00283996" w:rsidRPr="00F55232" w:rsidRDefault="00283996" w:rsidP="00283996">
                      <w:pPr>
                        <w:pStyle w:val="tekstzboku"/>
                        <w:spacing w:before="0"/>
                        <w:ind w:right="-57"/>
                        <w:rPr>
                          <w:b/>
                          <w:lang w:val="en-GB"/>
                        </w:rPr>
                      </w:pPr>
                      <w:r w:rsidRPr="00F55232">
                        <w:rPr>
                          <w:lang w:val="en-GB"/>
                        </w:rPr>
                        <w:t>In the first half of 2020, the occupancy rate of bed places was 23.8%, i.e. 13.8 p.p. less than in the corresponding period last year</w:t>
                      </w:r>
                    </w:p>
                  </w:txbxContent>
                </v:textbox>
                <w10:wrap type="tight" anchorx="margin"/>
              </v:shape>
            </w:pict>
          </mc:Fallback>
        </mc:AlternateContent>
      </w:r>
      <w:r w:rsidRPr="00F55232">
        <w:rPr>
          <w:lang w:val="en-GB" w:eastAsia="pl-PL"/>
        </w:rPr>
        <w:t xml:space="preserve">In the first half of this year, the occupancy rate of bed places was 23.8% and was much lower than the year before - by 13.8 p.p. As in the previous periods, the best use was made of bed places in health establishments - the occupancy rate of bed places was 54.9%, but at the same time these establishments recorded the biggest decrease in this rate, i.e. by 23.1 p.p. The occupancy rate of bed places exceeding the national average was also recorded in hotels - 24.8% and hostels - 30.1%. In other types of establishments, the occupancy rate of bed places ranged from 5.7% in tent camp sites to 21.9% in other hotel establishments and holiday </w:t>
      </w:r>
      <w:r>
        <w:rPr>
          <w:lang w:val="en-GB" w:eastAsia="pl-PL"/>
        </w:rPr>
        <w:t>centres</w:t>
      </w:r>
      <w:r w:rsidRPr="00F55232">
        <w:rPr>
          <w:lang w:val="en-GB" w:eastAsia="pl-PL"/>
        </w:rPr>
        <w:t>.</w:t>
      </w:r>
    </w:p>
    <w:p w:rsidR="00E178DA" w:rsidRPr="00F55232" w:rsidRDefault="00E178DA" w:rsidP="00E178DA">
      <w:pPr>
        <w:spacing w:before="0" w:after="0"/>
        <w:rPr>
          <w:lang w:val="en-GB"/>
        </w:rPr>
      </w:pPr>
    </w:p>
    <w:p w:rsidR="007F120A" w:rsidRDefault="00E178DA" w:rsidP="00283996">
      <w:pPr>
        <w:spacing w:before="0" w:after="0"/>
        <w:ind w:left="567" w:hanging="567"/>
        <w:rPr>
          <w:noProof/>
          <w:szCs w:val="19"/>
          <w:lang w:val="en-GB" w:eastAsia="pl-PL"/>
        </w:rPr>
      </w:pPr>
      <w:r>
        <w:rPr>
          <w:noProof/>
          <w:lang w:eastAsia="pl-PL"/>
        </w:rPr>
        <w:drawing>
          <wp:anchor distT="0" distB="0" distL="114300" distR="114300" simplePos="0" relativeHeight="251773952" behindDoc="0" locked="0" layoutInCell="1" allowOverlap="1">
            <wp:simplePos x="0" y="0"/>
            <wp:positionH relativeFrom="column">
              <wp:posOffset>242929</wp:posOffset>
            </wp:positionH>
            <wp:positionV relativeFrom="paragraph">
              <wp:posOffset>440690</wp:posOffset>
            </wp:positionV>
            <wp:extent cx="4356843" cy="3348000"/>
            <wp:effectExtent l="0" t="0" r="5715" b="5080"/>
            <wp:wrapTopAndBottom/>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korzystanie_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6843" cy="3348000"/>
                    </a:xfrm>
                    <a:prstGeom prst="rect">
                      <a:avLst/>
                    </a:prstGeom>
                  </pic:spPr>
                </pic:pic>
              </a:graphicData>
            </a:graphic>
            <wp14:sizeRelH relativeFrom="margin">
              <wp14:pctWidth>0</wp14:pctWidth>
            </wp14:sizeRelH>
            <wp14:sizeRelV relativeFrom="margin">
              <wp14:pctHeight>0</wp14:pctHeight>
            </wp14:sizeRelV>
          </wp:anchor>
        </w:drawing>
      </w:r>
      <w:r w:rsidR="007F120A" w:rsidRPr="00F55232">
        <w:rPr>
          <w:b/>
          <w:sz w:val="18"/>
          <w:szCs w:val="18"/>
          <w:lang w:val="en-GB"/>
        </w:rPr>
        <w:t>Map 2</w:t>
      </w:r>
      <w:r w:rsidR="007F120A" w:rsidRPr="00F55232">
        <w:rPr>
          <w:sz w:val="18"/>
          <w:szCs w:val="18"/>
          <w:lang w:val="en-GB"/>
        </w:rPr>
        <w:t xml:space="preserve">. </w:t>
      </w:r>
      <w:r w:rsidR="00283996" w:rsidRPr="00283996">
        <w:rPr>
          <w:b/>
          <w:sz w:val="18"/>
          <w:szCs w:val="18"/>
          <w:lang w:val="en-GB"/>
        </w:rPr>
        <w:t>Occupancy rate of bed places in tourist accommodation establishments in the first half of</w:t>
      </w:r>
      <w:r w:rsidR="00283996">
        <w:rPr>
          <w:b/>
          <w:sz w:val="18"/>
          <w:szCs w:val="18"/>
          <w:lang w:val="en-GB"/>
        </w:rPr>
        <w:t> </w:t>
      </w:r>
      <w:r w:rsidR="00283996" w:rsidRPr="00283996">
        <w:rPr>
          <w:b/>
          <w:sz w:val="18"/>
          <w:szCs w:val="18"/>
          <w:lang w:val="en-GB"/>
        </w:rPr>
        <w:t>2020</w:t>
      </w:r>
    </w:p>
    <w:p w:rsidR="00694AF0" w:rsidRPr="00026154" w:rsidRDefault="00026154" w:rsidP="00026154">
      <w:pPr>
        <w:spacing w:before="240"/>
        <w:rPr>
          <w:noProof/>
          <w:szCs w:val="19"/>
          <w:lang w:val="en-GB" w:eastAsia="pl-PL"/>
        </w:rPr>
        <w:sectPr w:rsidR="00694AF0" w:rsidRPr="00026154" w:rsidSect="003B18B6">
          <w:headerReference w:type="default" r:id="rId17"/>
          <w:footerReference w:type="default" r:id="rId18"/>
          <w:headerReference w:type="first" r:id="rId19"/>
          <w:footerReference w:type="first" r:id="rId20"/>
          <w:pgSz w:w="11906" w:h="16838"/>
          <w:pgMar w:top="720" w:right="3119" w:bottom="720" w:left="720" w:header="284" w:footer="283" w:gutter="0"/>
          <w:cols w:space="708"/>
          <w:titlePg/>
          <w:docGrid w:linePitch="360"/>
        </w:sectPr>
      </w:pPr>
      <w:r w:rsidRPr="00026154">
        <w:rPr>
          <w:noProof/>
          <w:szCs w:val="19"/>
          <w:lang w:val="en-GB" w:eastAsia="pl-PL"/>
        </w:rPr>
        <w:t>.</w:t>
      </w:r>
    </w:p>
    <w:p w:rsidR="000470AA" w:rsidRPr="00C674E0" w:rsidRDefault="000470AA" w:rsidP="000470AA">
      <w:pPr>
        <w:rPr>
          <w:sz w:val="18"/>
          <w:lang w:val="en-GB"/>
        </w:rPr>
      </w:pPr>
    </w:p>
    <w:tbl>
      <w:tblPr>
        <w:tblpPr w:leftFromText="141" w:rightFromText="141" w:vertAnchor="text" w:horzAnchor="margin" w:tblpXSpec="center" w:tblpY="-47"/>
        <w:tblW w:w="0" w:type="auto"/>
        <w:tblLook w:val="04A0" w:firstRow="1" w:lastRow="0" w:firstColumn="1" w:lastColumn="0" w:noHBand="0" w:noVBand="1"/>
      </w:tblPr>
      <w:tblGrid>
        <w:gridCol w:w="4195"/>
        <w:gridCol w:w="3728"/>
      </w:tblGrid>
      <w:tr w:rsidR="00A267EF" w:rsidRPr="003B54EB" w:rsidTr="000B2B96">
        <w:trPr>
          <w:trHeight w:val="1506"/>
        </w:trPr>
        <w:tc>
          <w:tcPr>
            <w:tcW w:w="4195" w:type="dxa"/>
          </w:tcPr>
          <w:p w:rsidR="00A267EF" w:rsidRPr="00145E8D" w:rsidRDefault="00A267EF" w:rsidP="00A267EF">
            <w:pPr>
              <w:spacing w:before="0" w:after="0" w:line="276" w:lineRule="auto"/>
              <w:ind w:left="-108"/>
              <w:rPr>
                <w:rFonts w:cs="Arial"/>
                <w:color w:val="000000" w:themeColor="text1"/>
                <w:sz w:val="20"/>
                <w:lang w:val="en-GB"/>
              </w:rPr>
            </w:pPr>
            <w:r w:rsidRPr="00145E8D">
              <w:rPr>
                <w:rFonts w:cs="Arial"/>
                <w:color w:val="000000" w:themeColor="text1"/>
                <w:sz w:val="20"/>
                <w:lang w:val="en-GB"/>
              </w:rPr>
              <w:t>Prepared by:</w:t>
            </w:r>
          </w:p>
          <w:p w:rsidR="00A267EF" w:rsidRPr="00145E8D" w:rsidRDefault="003B54EB" w:rsidP="00A267EF">
            <w:pPr>
              <w:spacing w:before="0" w:after="0" w:line="276" w:lineRule="auto"/>
              <w:ind w:left="-108"/>
              <w:rPr>
                <w:rFonts w:cs="Arial"/>
                <w:b/>
                <w:color w:val="000000" w:themeColor="text1"/>
                <w:sz w:val="20"/>
                <w:lang w:val="en-GB"/>
              </w:rPr>
            </w:pPr>
            <w:hyperlink r:id="rId21" w:tgtFrame="_blank" w:history="1">
              <w:r w:rsidR="00A267EF" w:rsidRPr="00145E8D">
                <w:rPr>
                  <w:b/>
                  <w:color w:val="000000" w:themeColor="text1"/>
                  <w:sz w:val="20"/>
                  <w:lang w:val="en-GB"/>
                </w:rPr>
                <w:t>Statistical Office in</w:t>
              </w:r>
            </w:hyperlink>
            <w:r w:rsidR="00A267EF" w:rsidRPr="00145E8D">
              <w:rPr>
                <w:rFonts w:cs="Arial"/>
                <w:b/>
                <w:color w:val="000000" w:themeColor="text1"/>
                <w:sz w:val="20"/>
                <w:lang w:val="en-GB"/>
              </w:rPr>
              <w:t xml:space="preserve"> Rzeszów</w:t>
            </w:r>
          </w:p>
          <w:p w:rsidR="00A267EF" w:rsidRPr="00145E8D" w:rsidRDefault="00A267EF" w:rsidP="00A267EF">
            <w:pPr>
              <w:spacing w:before="0" w:after="0" w:line="276" w:lineRule="auto"/>
              <w:ind w:left="-108"/>
              <w:rPr>
                <w:rFonts w:cs="Arial"/>
                <w:b/>
                <w:color w:val="000000" w:themeColor="text1"/>
                <w:sz w:val="20"/>
                <w:lang w:val="en-GB"/>
              </w:rPr>
            </w:pPr>
            <w:r w:rsidRPr="00145E8D">
              <w:rPr>
                <w:rFonts w:cs="Arial"/>
                <w:b/>
                <w:color w:val="000000" w:themeColor="text1"/>
                <w:sz w:val="20"/>
                <w:lang w:val="en-GB"/>
              </w:rPr>
              <w:t>Director Marek Cierpiał-Wolan</w:t>
            </w:r>
          </w:p>
          <w:p w:rsidR="00A267EF" w:rsidRPr="00145E8D" w:rsidRDefault="00A267EF" w:rsidP="00A267EF">
            <w:pPr>
              <w:pStyle w:val="Nagwek3"/>
              <w:spacing w:before="0" w:line="240" w:lineRule="auto"/>
              <w:ind w:left="-108"/>
              <w:rPr>
                <w:rFonts w:ascii="Fira Sans" w:hAnsi="Fira Sans" w:cs="Arial"/>
                <w:color w:val="000000" w:themeColor="text1"/>
                <w:sz w:val="20"/>
                <w:lang w:val="en-GB"/>
              </w:rPr>
            </w:pPr>
            <w:r w:rsidRPr="00145E8D">
              <w:rPr>
                <w:rFonts w:ascii="Fira Sans" w:hAnsi="Fira Sans" w:cs="Arial"/>
                <w:color w:val="000000" w:themeColor="text1"/>
                <w:sz w:val="20"/>
                <w:lang w:val="en-GB"/>
              </w:rPr>
              <w:t xml:space="preserve">Office: tel. (+48 </w:t>
            </w:r>
            <w:r>
              <w:rPr>
                <w:rFonts w:ascii="Fira Sans" w:hAnsi="Fira Sans" w:cs="Arial"/>
                <w:color w:val="000000" w:themeColor="text1"/>
                <w:sz w:val="20"/>
                <w:lang w:val="en-GB"/>
              </w:rPr>
              <w:t>17</w:t>
            </w:r>
            <w:r w:rsidRPr="00145E8D">
              <w:rPr>
                <w:rFonts w:ascii="Fira Sans" w:hAnsi="Fira Sans" w:cs="Arial"/>
                <w:color w:val="000000" w:themeColor="text1"/>
                <w:sz w:val="20"/>
                <w:lang w:val="en-GB"/>
              </w:rPr>
              <w:t xml:space="preserve">) </w:t>
            </w:r>
            <w:r>
              <w:rPr>
                <w:rFonts w:ascii="Fira Sans" w:hAnsi="Fira Sans" w:cs="Arial"/>
                <w:color w:val="000000" w:themeColor="text1"/>
                <w:sz w:val="20"/>
                <w:lang w:val="en-GB"/>
              </w:rPr>
              <w:t>853 52 10</w:t>
            </w:r>
          </w:p>
          <w:p w:rsidR="00A267EF" w:rsidRPr="00145E8D" w:rsidRDefault="00A267EF" w:rsidP="00A267EF">
            <w:pPr>
              <w:pStyle w:val="Nagwek3"/>
              <w:spacing w:before="0" w:line="240" w:lineRule="auto"/>
              <w:ind w:left="-108"/>
              <w:rPr>
                <w:rFonts w:ascii="Fira Sans" w:hAnsi="Fira Sans"/>
                <w:b/>
                <w:color w:val="000000" w:themeColor="text1"/>
                <w:sz w:val="20"/>
                <w:szCs w:val="20"/>
                <w:lang w:val="en-GB"/>
              </w:rPr>
            </w:pPr>
          </w:p>
        </w:tc>
        <w:tc>
          <w:tcPr>
            <w:tcW w:w="3728" w:type="dxa"/>
          </w:tcPr>
          <w:p w:rsidR="00A267EF" w:rsidRPr="00145E8D" w:rsidRDefault="00A267EF" w:rsidP="00A267EF">
            <w:pPr>
              <w:spacing w:before="0" w:after="0" w:line="276" w:lineRule="auto"/>
              <w:rPr>
                <w:rFonts w:cs="Arial"/>
                <w:b/>
                <w:color w:val="000000" w:themeColor="text1"/>
                <w:sz w:val="20"/>
                <w:lang w:val="en-GB"/>
              </w:rPr>
            </w:pPr>
            <w:r w:rsidRPr="00145E8D">
              <w:rPr>
                <w:rFonts w:cs="Arial"/>
                <w:color w:val="000000" w:themeColor="text1"/>
                <w:sz w:val="20"/>
                <w:lang w:val="en-GB"/>
              </w:rPr>
              <w:t>Issued by:</w:t>
            </w:r>
            <w:r w:rsidRPr="00145E8D">
              <w:rPr>
                <w:rFonts w:cs="Arial"/>
                <w:color w:val="000000" w:themeColor="text1"/>
                <w:sz w:val="20"/>
                <w:lang w:val="en-GB"/>
              </w:rPr>
              <w:br/>
            </w:r>
            <w:r w:rsidRPr="00145E8D">
              <w:rPr>
                <w:rFonts w:cs="Arial"/>
                <w:b/>
                <w:color w:val="000000" w:themeColor="text1"/>
                <w:sz w:val="20"/>
                <w:lang w:val="en-GB"/>
              </w:rPr>
              <w:t xml:space="preserve">The </w:t>
            </w:r>
            <w:proofErr w:type="spellStart"/>
            <w:r w:rsidRPr="00145E8D">
              <w:rPr>
                <w:rFonts w:cs="Arial"/>
                <w:b/>
                <w:color w:val="000000" w:themeColor="text1"/>
                <w:sz w:val="20"/>
                <w:lang w:val="en-GB"/>
              </w:rPr>
              <w:t>Spokeperson</w:t>
            </w:r>
            <w:proofErr w:type="spellEnd"/>
            <w:r w:rsidRPr="00145E8D">
              <w:rPr>
                <w:rFonts w:cs="Arial"/>
                <w:b/>
                <w:color w:val="000000" w:themeColor="text1"/>
                <w:sz w:val="20"/>
                <w:lang w:val="en-GB"/>
              </w:rPr>
              <w:t xml:space="preserve"> for the President </w:t>
            </w:r>
          </w:p>
          <w:p w:rsidR="00A267EF" w:rsidRPr="00145E8D" w:rsidRDefault="00A267EF" w:rsidP="00A267EF">
            <w:pPr>
              <w:spacing w:before="0" w:after="0" w:line="276" w:lineRule="auto"/>
              <w:rPr>
                <w:rFonts w:cs="Arial"/>
                <w:b/>
                <w:color w:val="000000" w:themeColor="text1"/>
                <w:sz w:val="20"/>
                <w:lang w:val="en-GB"/>
              </w:rPr>
            </w:pPr>
            <w:r w:rsidRPr="00145E8D">
              <w:rPr>
                <w:rFonts w:cs="Arial"/>
                <w:b/>
                <w:color w:val="000000" w:themeColor="text1"/>
                <w:sz w:val="20"/>
                <w:lang w:val="en-GB"/>
              </w:rPr>
              <w:t>of  Statistics Poland</w:t>
            </w:r>
          </w:p>
          <w:p w:rsidR="00A267EF" w:rsidRPr="00145E8D" w:rsidRDefault="00A267EF" w:rsidP="00A267EF">
            <w:pPr>
              <w:pStyle w:val="Nagwek3"/>
              <w:spacing w:before="0" w:line="240" w:lineRule="auto"/>
              <w:rPr>
                <w:rFonts w:ascii="Fira Sans" w:hAnsi="Fira Sans" w:cs="Arial"/>
                <w:b/>
                <w:color w:val="000000" w:themeColor="text1"/>
                <w:sz w:val="20"/>
                <w:szCs w:val="28"/>
                <w:lang w:val="en-GB"/>
              </w:rPr>
            </w:pPr>
            <w:r w:rsidRPr="00145E8D">
              <w:rPr>
                <w:rFonts w:ascii="Fira Sans" w:hAnsi="Fira Sans" w:cs="Arial"/>
                <w:b/>
                <w:color w:val="000000" w:themeColor="text1"/>
                <w:sz w:val="20"/>
                <w:szCs w:val="28"/>
                <w:lang w:val="en-GB"/>
              </w:rPr>
              <w:t>Karolina</w:t>
            </w:r>
            <w:r w:rsidRPr="00145E8D">
              <w:rPr>
                <w:rFonts w:ascii="Fira Sans" w:hAnsi="Fira Sans" w:cs="Arial"/>
                <w:b/>
                <w:color w:val="auto"/>
                <w:sz w:val="20"/>
                <w:szCs w:val="28"/>
                <w:lang w:val="en-GB"/>
              </w:rPr>
              <w:t xml:space="preserve"> Banaszek</w:t>
            </w:r>
          </w:p>
          <w:p w:rsidR="00A267EF" w:rsidRPr="00145E8D" w:rsidRDefault="00A267EF" w:rsidP="00A267EF">
            <w:pPr>
              <w:pStyle w:val="Nagwek3"/>
              <w:spacing w:before="0" w:line="240" w:lineRule="auto"/>
              <w:rPr>
                <w:rFonts w:ascii="Fira Sans" w:hAnsi="Fira Sans" w:cs="Arial"/>
                <w:color w:val="000000" w:themeColor="text1"/>
                <w:sz w:val="20"/>
                <w:lang w:val="en-GB"/>
              </w:rPr>
            </w:pPr>
            <w:r w:rsidRPr="00145E8D">
              <w:rPr>
                <w:rFonts w:ascii="Fira Sans" w:hAnsi="Fira Sans" w:cs="Arial"/>
                <w:color w:val="000000" w:themeColor="text1"/>
                <w:sz w:val="20"/>
                <w:lang w:val="en-GB"/>
              </w:rPr>
              <w:t>Mobile: (+48) 695 255 011</w:t>
            </w:r>
          </w:p>
          <w:p w:rsidR="00A267EF" w:rsidRPr="00145E8D" w:rsidRDefault="00A267EF" w:rsidP="00A267EF">
            <w:pPr>
              <w:pStyle w:val="Nagwek3"/>
              <w:spacing w:before="0" w:line="240" w:lineRule="auto"/>
              <w:rPr>
                <w:rFonts w:ascii="Fira Sans" w:hAnsi="Fira Sans" w:cs="Arial"/>
                <w:color w:val="000000" w:themeColor="text1"/>
                <w:sz w:val="20"/>
                <w:szCs w:val="20"/>
                <w:lang w:val="en-GB"/>
              </w:rPr>
            </w:pPr>
          </w:p>
        </w:tc>
      </w:tr>
    </w:tbl>
    <w:p w:rsidR="00A267EF" w:rsidRPr="00145E8D" w:rsidRDefault="00A267EF" w:rsidP="00A267EF">
      <w:pPr>
        <w:rPr>
          <w:sz w:val="20"/>
          <w:lang w:val="en-GB"/>
        </w:rPr>
      </w:pPr>
    </w:p>
    <w:p w:rsidR="00A267EF" w:rsidRPr="00145E8D" w:rsidRDefault="00A267EF" w:rsidP="00A267EF">
      <w:pPr>
        <w:rPr>
          <w:sz w:val="18"/>
          <w:lang w:val="en-GB"/>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90"/>
        <w:gridCol w:w="595"/>
        <w:gridCol w:w="3082"/>
      </w:tblGrid>
      <w:tr w:rsidR="00A267EF" w:rsidRPr="003B54EB" w:rsidTr="000B2B96">
        <w:trPr>
          <w:trHeight w:val="610"/>
        </w:trPr>
        <w:tc>
          <w:tcPr>
            <w:tcW w:w="2721" w:type="pct"/>
            <w:vMerge w:val="restart"/>
          </w:tcPr>
          <w:p w:rsidR="00A267EF" w:rsidRPr="00145E8D" w:rsidRDefault="00A267EF" w:rsidP="00A267EF">
            <w:pPr>
              <w:rPr>
                <w:b/>
                <w:sz w:val="20"/>
                <w:lang w:val="en-GB"/>
              </w:rPr>
            </w:pPr>
            <w:r w:rsidRPr="00145E8D">
              <w:rPr>
                <w:b/>
                <w:sz w:val="20"/>
                <w:lang w:val="en-GB"/>
              </w:rPr>
              <w:t>Press Office</w:t>
            </w:r>
          </w:p>
          <w:p w:rsidR="00A267EF" w:rsidRPr="00145E8D" w:rsidRDefault="00A267EF" w:rsidP="00A267EF">
            <w:pPr>
              <w:rPr>
                <w:sz w:val="20"/>
                <w:lang w:val="en-GB"/>
              </w:rPr>
            </w:pPr>
            <w:r w:rsidRPr="00145E8D">
              <w:rPr>
                <w:rFonts w:cs="Arial"/>
                <w:color w:val="000000" w:themeColor="text1"/>
                <w:sz w:val="20"/>
                <w:szCs w:val="24"/>
                <w:lang w:val="en-GB"/>
              </w:rPr>
              <w:t xml:space="preserve">Office: tel. (+48 22) </w:t>
            </w:r>
            <w:r w:rsidRPr="00145E8D">
              <w:rPr>
                <w:sz w:val="20"/>
                <w:lang w:val="en-GB"/>
              </w:rPr>
              <w:t xml:space="preserve">608 34 91, 608 38 04 </w:t>
            </w:r>
          </w:p>
          <w:p w:rsidR="00A267EF" w:rsidRPr="00145E8D" w:rsidRDefault="00A267EF" w:rsidP="00A267EF">
            <w:pPr>
              <w:rPr>
                <w:sz w:val="18"/>
                <w:lang w:val="en-GB"/>
              </w:rPr>
            </w:pPr>
            <w:r w:rsidRPr="00145E8D">
              <w:rPr>
                <w:b/>
                <w:sz w:val="20"/>
                <w:lang w:val="en-GB"/>
              </w:rPr>
              <w:t>e-mail:</w:t>
            </w:r>
            <w:r w:rsidRPr="00145E8D">
              <w:rPr>
                <w:sz w:val="20"/>
                <w:lang w:val="en-GB"/>
              </w:rPr>
              <w:t xml:space="preserve"> </w:t>
            </w:r>
            <w:hyperlink r:id="rId22" w:history="1">
              <w:r w:rsidRPr="00145E8D">
                <w:rPr>
                  <w:rStyle w:val="Hipercze"/>
                  <w:rFonts w:cstheme="minorBidi"/>
                  <w:b/>
                  <w:color w:val="auto"/>
                  <w:sz w:val="20"/>
                  <w:lang w:val="en-GB"/>
                </w:rPr>
                <w:t>obslugaprasowa@stat.gov.pl</w:t>
              </w:r>
            </w:hyperlink>
          </w:p>
        </w:tc>
        <w:tc>
          <w:tcPr>
            <w:tcW w:w="369" w:type="pct"/>
            <w:vAlign w:val="center"/>
          </w:tcPr>
          <w:p w:rsidR="00A267EF" w:rsidRPr="00145E8D" w:rsidRDefault="00A267EF" w:rsidP="00A267EF">
            <w:pPr>
              <w:rPr>
                <w:sz w:val="18"/>
                <w:lang w:val="en-GB"/>
              </w:rPr>
            </w:pPr>
            <w:r w:rsidRPr="00145E8D">
              <w:rPr>
                <w:noProof/>
                <w:sz w:val="20"/>
                <w:lang w:eastAsia="pl-PL"/>
              </w:rPr>
              <w:drawing>
                <wp:anchor distT="0" distB="0" distL="114300" distR="114300" simplePos="0" relativeHeight="251748352" behindDoc="0" locked="0" layoutInCell="1" allowOverlap="1" wp14:anchorId="25BFCF03" wp14:editId="4A75748A">
                  <wp:simplePos x="0" y="0"/>
                  <wp:positionH relativeFrom="column">
                    <wp:posOffset>78740</wp:posOffset>
                  </wp:positionH>
                  <wp:positionV relativeFrom="paragraph">
                    <wp:posOffset>21590</wp:posOffset>
                  </wp:positionV>
                  <wp:extent cx="256540" cy="25146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0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vAlign w:val="center"/>
          </w:tcPr>
          <w:p w:rsidR="00A267EF" w:rsidRPr="00145E8D" w:rsidRDefault="00A267EF" w:rsidP="00A267EF">
            <w:pPr>
              <w:rPr>
                <w:sz w:val="18"/>
                <w:lang w:val="en-GB"/>
              </w:rPr>
            </w:pPr>
            <w:r w:rsidRPr="00145E8D">
              <w:rPr>
                <w:sz w:val="20"/>
                <w:lang w:val="en-GB"/>
              </w:rPr>
              <w:t>www.stat.gov.pl/en/</w:t>
            </w:r>
          </w:p>
        </w:tc>
      </w:tr>
      <w:tr w:rsidR="00A267EF" w:rsidRPr="00145E8D" w:rsidTr="000B2B96">
        <w:trPr>
          <w:trHeight w:val="436"/>
        </w:trPr>
        <w:tc>
          <w:tcPr>
            <w:tcW w:w="2721" w:type="pct"/>
            <w:vMerge/>
          </w:tcPr>
          <w:p w:rsidR="00A267EF" w:rsidRPr="00145E8D" w:rsidRDefault="00A267EF" w:rsidP="00A267EF">
            <w:pPr>
              <w:rPr>
                <w:sz w:val="18"/>
                <w:lang w:val="en-GB"/>
              </w:rPr>
            </w:pPr>
          </w:p>
        </w:tc>
        <w:tc>
          <w:tcPr>
            <w:tcW w:w="369" w:type="pct"/>
            <w:vAlign w:val="center"/>
          </w:tcPr>
          <w:p w:rsidR="00A267EF" w:rsidRPr="00145E8D" w:rsidRDefault="00A267EF" w:rsidP="00A267EF">
            <w:pPr>
              <w:rPr>
                <w:sz w:val="18"/>
                <w:lang w:val="en-GB"/>
              </w:rPr>
            </w:pPr>
            <w:r w:rsidRPr="00145E8D">
              <w:rPr>
                <w:noProof/>
                <w:sz w:val="20"/>
                <w:lang w:eastAsia="pl-PL"/>
              </w:rPr>
              <w:drawing>
                <wp:anchor distT="0" distB="0" distL="114300" distR="114300" simplePos="0" relativeHeight="251750400" behindDoc="0" locked="0" layoutInCell="1" allowOverlap="1" wp14:anchorId="1704B2CB" wp14:editId="2A4BD55D">
                  <wp:simplePos x="0" y="0"/>
                  <wp:positionH relativeFrom="column">
                    <wp:posOffset>81280</wp:posOffset>
                  </wp:positionH>
                  <wp:positionV relativeFrom="paragraph">
                    <wp:posOffset>18415</wp:posOffset>
                  </wp:positionV>
                  <wp:extent cx="256540" cy="25146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0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A267EF" w:rsidRPr="00145E8D" w:rsidRDefault="00A267EF" w:rsidP="00A267EF">
            <w:pPr>
              <w:rPr>
                <w:sz w:val="18"/>
                <w:lang w:val="en-GB"/>
              </w:rPr>
            </w:pPr>
            <w:r w:rsidRPr="00145E8D">
              <w:rPr>
                <w:sz w:val="20"/>
                <w:lang w:val="en-GB"/>
              </w:rPr>
              <w:t>@</w:t>
            </w:r>
            <w:proofErr w:type="spellStart"/>
            <w:r w:rsidRPr="00145E8D">
              <w:rPr>
                <w:sz w:val="20"/>
                <w:lang w:val="en-GB"/>
              </w:rPr>
              <w:t>StatPoland</w:t>
            </w:r>
            <w:proofErr w:type="spellEnd"/>
          </w:p>
        </w:tc>
      </w:tr>
      <w:tr w:rsidR="00A267EF" w:rsidRPr="00145E8D" w:rsidTr="000B2B96">
        <w:trPr>
          <w:trHeight w:val="436"/>
        </w:trPr>
        <w:tc>
          <w:tcPr>
            <w:tcW w:w="2721" w:type="pct"/>
            <w:vMerge/>
          </w:tcPr>
          <w:p w:rsidR="00A267EF" w:rsidRPr="00145E8D" w:rsidRDefault="00A267EF" w:rsidP="00A267EF">
            <w:pPr>
              <w:rPr>
                <w:sz w:val="18"/>
                <w:lang w:val="en-GB"/>
              </w:rPr>
            </w:pPr>
          </w:p>
        </w:tc>
        <w:tc>
          <w:tcPr>
            <w:tcW w:w="369" w:type="pct"/>
            <w:vAlign w:val="center"/>
          </w:tcPr>
          <w:p w:rsidR="00A267EF" w:rsidRPr="00145E8D" w:rsidRDefault="00A267EF" w:rsidP="00A267EF">
            <w:pPr>
              <w:rPr>
                <w:sz w:val="18"/>
                <w:lang w:val="en-GB"/>
              </w:rPr>
            </w:pPr>
            <w:r w:rsidRPr="00145E8D">
              <w:rPr>
                <w:noProof/>
                <w:sz w:val="20"/>
                <w:lang w:eastAsia="pl-PL"/>
              </w:rPr>
              <w:drawing>
                <wp:anchor distT="0" distB="0" distL="114300" distR="114300" simplePos="0" relativeHeight="251749376" behindDoc="0" locked="0" layoutInCell="1" allowOverlap="1" wp14:anchorId="3A450C6E" wp14:editId="05FAA1EB">
                  <wp:simplePos x="0" y="0"/>
                  <wp:positionH relativeFrom="column">
                    <wp:posOffset>78740</wp:posOffset>
                  </wp:positionH>
                  <wp:positionV relativeFrom="paragraph">
                    <wp:posOffset>15240</wp:posOffset>
                  </wp:positionV>
                  <wp:extent cx="256540" cy="25146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2.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6540" cy="251460"/>
                          </a:xfrm>
                          <a:prstGeom prst="rect">
                            <a:avLst/>
                          </a:prstGeom>
                        </pic:spPr>
                      </pic:pic>
                    </a:graphicData>
                  </a:graphic>
                  <wp14:sizeRelH relativeFrom="page">
                    <wp14:pctWidth>0</wp14:pctWidth>
                  </wp14:sizeRelH>
                  <wp14:sizeRelV relativeFrom="page">
                    <wp14:pctHeight>0</wp14:pctHeight>
                  </wp14:sizeRelV>
                </wp:anchor>
              </w:drawing>
            </w:r>
          </w:p>
        </w:tc>
        <w:tc>
          <w:tcPr>
            <w:tcW w:w="1910" w:type="pct"/>
          </w:tcPr>
          <w:p w:rsidR="00A267EF" w:rsidRPr="00145E8D" w:rsidRDefault="00A267EF" w:rsidP="00A267EF">
            <w:pPr>
              <w:rPr>
                <w:sz w:val="20"/>
                <w:lang w:val="en-GB"/>
              </w:rPr>
            </w:pPr>
            <w:r w:rsidRPr="00145E8D">
              <w:rPr>
                <w:sz w:val="20"/>
                <w:lang w:val="en-GB"/>
              </w:rPr>
              <w:t>@</w:t>
            </w:r>
            <w:proofErr w:type="spellStart"/>
            <w:r w:rsidRPr="00145E8D">
              <w:rPr>
                <w:sz w:val="20"/>
                <w:lang w:val="en-GB"/>
              </w:rPr>
              <w:t>GlownyUrzadStatystyczny</w:t>
            </w:r>
            <w:proofErr w:type="spellEnd"/>
          </w:p>
        </w:tc>
      </w:tr>
    </w:tbl>
    <w:p w:rsidR="00A267EF" w:rsidRPr="00C818A9" w:rsidRDefault="00A267EF" w:rsidP="00A267EF">
      <w:pPr>
        <w:rPr>
          <w:sz w:val="18"/>
          <w:lang w:val="en-GB"/>
        </w:rPr>
      </w:pPr>
      <w:r w:rsidRPr="00C818A9">
        <w:rPr>
          <w:noProof/>
          <w:sz w:val="18"/>
          <w:lang w:eastAsia="pl-PL"/>
        </w:rPr>
        <mc:AlternateContent>
          <mc:Choice Requires="wps">
            <w:drawing>
              <wp:anchor distT="45720" distB="45720" distL="114300" distR="114300" simplePos="0" relativeHeight="251747328" behindDoc="0" locked="0" layoutInCell="1" allowOverlap="1" wp14:anchorId="7B22728F" wp14:editId="7391CF02">
                <wp:simplePos x="0" y="0"/>
                <wp:positionH relativeFrom="margin">
                  <wp:posOffset>19229</wp:posOffset>
                </wp:positionH>
                <wp:positionV relativeFrom="paragraph">
                  <wp:posOffset>425682</wp:posOffset>
                </wp:positionV>
                <wp:extent cx="6559550" cy="4443095"/>
                <wp:effectExtent l="0" t="0" r="12700" b="146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4443095"/>
                        </a:xfrm>
                        <a:prstGeom prst="rect">
                          <a:avLst/>
                        </a:prstGeom>
                        <a:solidFill>
                          <a:schemeClr val="bg1">
                            <a:lumMod val="95000"/>
                          </a:schemeClr>
                        </a:solidFill>
                        <a:ln w="9525">
                          <a:solidFill>
                            <a:schemeClr val="bg1"/>
                          </a:solidFill>
                          <a:miter lim="800000"/>
                          <a:headEnd/>
                          <a:tailEnd/>
                        </a:ln>
                      </wps:spPr>
                      <wps:txbx>
                        <w:txbxContent>
                          <w:p w:rsidR="00A267EF" w:rsidRDefault="00A267EF" w:rsidP="00A267EF">
                            <w:pPr>
                              <w:rPr>
                                <w:b/>
                              </w:rPr>
                            </w:pPr>
                          </w:p>
                          <w:p w:rsidR="00A267EF" w:rsidRDefault="00A267EF" w:rsidP="00A267EF">
                            <w:pPr>
                              <w:rPr>
                                <w:b/>
                                <w:lang w:val="en-GB"/>
                              </w:rPr>
                            </w:pPr>
                            <w:r w:rsidRPr="00976BED">
                              <w:rPr>
                                <w:b/>
                                <w:lang w:val="en-GB"/>
                              </w:rPr>
                              <w:t>Related information</w:t>
                            </w:r>
                          </w:p>
                          <w:p w:rsidR="0050635C" w:rsidRPr="00FC06F8" w:rsidRDefault="003B54EB" w:rsidP="00A267EF">
                            <w:pPr>
                              <w:rPr>
                                <w:rStyle w:val="Hipercze"/>
                                <w:rFonts w:cs="Arial"/>
                                <w:sz w:val="18"/>
                                <w:szCs w:val="30"/>
                                <w:shd w:val="clear" w:color="auto" w:fill="F0F0F0"/>
                                <w:lang w:val="en-GB"/>
                              </w:rPr>
                            </w:pPr>
                            <w:hyperlink r:id="rId26" w:history="1">
                              <w:r w:rsidR="00FC06F8" w:rsidRPr="00FC06F8">
                                <w:rPr>
                                  <w:rStyle w:val="Hipercze"/>
                                  <w:rFonts w:cs="Arial"/>
                                  <w:sz w:val="18"/>
                                  <w:szCs w:val="30"/>
                                  <w:shd w:val="clear" w:color="auto" w:fill="F0F0F0"/>
                                  <w:lang w:val="en-GB"/>
                                </w:rPr>
                                <w:t>Occupancy of tourist accommodation establishments in Poland in June and July 2020</w:t>
                              </w:r>
                            </w:hyperlink>
                          </w:p>
                          <w:p w:rsidR="00A267EF" w:rsidRPr="008B4384" w:rsidRDefault="008B4384" w:rsidP="00A267EF">
                            <w:pPr>
                              <w:rPr>
                                <w:rStyle w:val="Hipercze"/>
                                <w:rFonts w:cs="Arial"/>
                                <w:sz w:val="18"/>
                                <w:szCs w:val="30"/>
                                <w:shd w:val="clear" w:color="auto" w:fill="F0F0F0"/>
                                <w:lang w:val="en-GB"/>
                              </w:rPr>
                            </w:pPr>
                            <w:r>
                              <w:rPr>
                                <w:lang w:val="en-GB"/>
                              </w:rPr>
                              <w:fldChar w:fldCharType="begin"/>
                            </w:r>
                            <w:r>
                              <w:rPr>
                                <w:lang w:val="en-GB"/>
                              </w:rPr>
                              <w:instrText xml:space="preserve"> HYPERLINK "https://stat.gov.pl/en/topics/culture-tourism-sport/tourism/occupancy-of-tourist-accommodation-establishments-in-poland-in-may-and-june-2020,5,20.html" </w:instrText>
                            </w:r>
                            <w:r>
                              <w:rPr>
                                <w:lang w:val="en-GB"/>
                              </w:rPr>
                              <w:fldChar w:fldCharType="separate"/>
                            </w:r>
                            <w:r w:rsidRPr="008B4384">
                              <w:rPr>
                                <w:rStyle w:val="Hipercze"/>
                                <w:rFonts w:cs="Arial"/>
                                <w:sz w:val="18"/>
                                <w:szCs w:val="30"/>
                                <w:shd w:val="clear" w:color="auto" w:fill="F0F0F0"/>
                                <w:lang w:val="en-GB"/>
                              </w:rPr>
                              <w:t>Occupancy of tourist accommodation establishments in Poland in May and June 2020</w:t>
                            </w:r>
                          </w:p>
                          <w:p w:rsidR="008B4384" w:rsidRPr="008B4384" w:rsidRDefault="008B4384" w:rsidP="00A267EF">
                            <w:pPr>
                              <w:rPr>
                                <w:rStyle w:val="Hipercze"/>
                                <w:rFonts w:cs="Arial"/>
                                <w:color w:val="001D77"/>
                                <w:sz w:val="18"/>
                                <w:szCs w:val="30"/>
                                <w:shd w:val="clear" w:color="auto" w:fill="F0F0F0"/>
                                <w:lang w:val="en-GB"/>
                              </w:rPr>
                            </w:pPr>
                            <w:r>
                              <w:rPr>
                                <w:lang w:val="en-GB"/>
                              </w:rPr>
                              <w:fldChar w:fldCharType="end"/>
                            </w:r>
                            <w:hyperlink r:id="rId27" w:history="1">
                              <w:r w:rsidRPr="008B4384">
                                <w:rPr>
                                  <w:rStyle w:val="Hipercze"/>
                                  <w:rFonts w:cstheme="minorBidi"/>
                                  <w:lang w:val="en-GB"/>
                                </w:rPr>
                                <w:t>Occupancy of tourist accommodation establishments in Poland in April and May 2020</w:t>
                              </w:r>
                            </w:hyperlink>
                          </w:p>
                          <w:p w:rsidR="008B4384" w:rsidRDefault="003B54EB" w:rsidP="00A267EF">
                            <w:pPr>
                              <w:rPr>
                                <w:rStyle w:val="Hipercze"/>
                                <w:rFonts w:cs="Arial"/>
                                <w:color w:val="001D77"/>
                                <w:sz w:val="18"/>
                                <w:szCs w:val="30"/>
                                <w:shd w:val="clear" w:color="auto" w:fill="F0F0F0"/>
                                <w:lang w:val="en-GB"/>
                              </w:rPr>
                            </w:pPr>
                            <w:hyperlink r:id="rId28" w:history="1">
                              <w:r w:rsidR="008B4384" w:rsidRPr="008B4384">
                                <w:rPr>
                                  <w:rStyle w:val="Hipercze"/>
                                  <w:rFonts w:cs="Arial"/>
                                  <w:sz w:val="18"/>
                                  <w:szCs w:val="30"/>
                                  <w:shd w:val="clear" w:color="auto" w:fill="F0F0F0"/>
                                  <w:lang w:val="en-GB"/>
                                </w:rPr>
                                <w:t>Occupancy of tourist accommodation establishments in the first quarter of 2020</w:t>
                              </w:r>
                            </w:hyperlink>
                          </w:p>
                          <w:p w:rsidR="008B4384" w:rsidRPr="008B4384" w:rsidRDefault="003B54EB" w:rsidP="00A267EF">
                            <w:pPr>
                              <w:rPr>
                                <w:rStyle w:val="Hipercze"/>
                                <w:rFonts w:cs="Arial"/>
                                <w:color w:val="001D77"/>
                                <w:sz w:val="18"/>
                                <w:szCs w:val="30"/>
                                <w:shd w:val="clear" w:color="auto" w:fill="F0F0F0"/>
                                <w:lang w:val="en-GB"/>
                              </w:rPr>
                            </w:pPr>
                            <w:hyperlink r:id="rId29" w:history="1">
                              <w:r w:rsidR="008B4384" w:rsidRPr="008B4384">
                                <w:rPr>
                                  <w:rStyle w:val="Hipercze"/>
                                  <w:rFonts w:cs="Arial"/>
                                  <w:sz w:val="18"/>
                                  <w:szCs w:val="30"/>
                                  <w:shd w:val="clear" w:color="auto" w:fill="F0F0F0"/>
                                  <w:lang w:val="en-GB"/>
                                </w:rPr>
                                <w:t>Occupancy of tourist accommodation establishments in Poland in March and April 2020</w:t>
                              </w:r>
                            </w:hyperlink>
                          </w:p>
                          <w:p w:rsidR="008B4384" w:rsidRPr="008B4384" w:rsidRDefault="003B54EB" w:rsidP="00A267EF">
                            <w:pPr>
                              <w:rPr>
                                <w:rStyle w:val="Hipercze"/>
                                <w:rFonts w:cs="Arial"/>
                                <w:color w:val="001D77"/>
                                <w:sz w:val="18"/>
                                <w:szCs w:val="30"/>
                                <w:shd w:val="clear" w:color="auto" w:fill="F0F0F0"/>
                                <w:lang w:val="en-GB"/>
                              </w:rPr>
                            </w:pPr>
                            <w:hyperlink r:id="rId30" w:history="1">
                              <w:r w:rsidR="008B4384" w:rsidRPr="008B4384">
                                <w:rPr>
                                  <w:rStyle w:val="Hipercze"/>
                                  <w:rFonts w:cs="Arial"/>
                                  <w:sz w:val="18"/>
                                  <w:szCs w:val="30"/>
                                  <w:shd w:val="clear" w:color="auto" w:fill="F0F0F0"/>
                                  <w:lang w:val="en-GB"/>
                                </w:rPr>
                                <w:t>Tourism in Poland in the face of COVID-19 pandemic</w:t>
                              </w:r>
                            </w:hyperlink>
                          </w:p>
                          <w:p w:rsidR="008B4384" w:rsidRPr="008B4384" w:rsidRDefault="008B4384" w:rsidP="008B4384">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HYPERLINK "https://stat.gov.pl/obszary-tematyczne/kultura-turystyka-sport/turystyka/turystyka-w-2019-roku,1,17.html"</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Tourism in 2019</w:t>
                            </w:r>
                          </w:p>
                          <w:p w:rsidR="008B4384" w:rsidRDefault="008B4384" w:rsidP="008B4384">
                            <w:pPr>
                              <w:rPr>
                                <w:rStyle w:val="Hipercze"/>
                                <w:rFonts w:cs="Arial"/>
                                <w:color w:val="001D77"/>
                                <w:sz w:val="18"/>
                                <w:szCs w:val="30"/>
                                <w:shd w:val="clear" w:color="auto" w:fill="F0F0F0"/>
                                <w:lang w:val="en-GB"/>
                              </w:rPr>
                            </w:pPr>
                            <w:r w:rsidRPr="008B4384">
                              <w:rPr>
                                <w:rStyle w:val="Hipercze"/>
                                <w:rFonts w:cs="Arial"/>
                                <w:sz w:val="18"/>
                                <w:szCs w:val="30"/>
                                <w:shd w:val="clear" w:color="auto" w:fill="F0F0F0"/>
                                <w:lang w:val="en-GB"/>
                              </w:rPr>
                              <w:fldChar w:fldCharType="end"/>
                            </w:r>
                          </w:p>
                          <w:p w:rsidR="00A267EF" w:rsidRPr="00976BED" w:rsidRDefault="00A267EF" w:rsidP="00A267EF">
                            <w:pPr>
                              <w:rPr>
                                <w:b/>
                                <w:color w:val="000000" w:themeColor="text1"/>
                                <w:szCs w:val="24"/>
                                <w:lang w:val="en-GB"/>
                              </w:rPr>
                            </w:pPr>
                            <w:r w:rsidRPr="00976BED">
                              <w:rPr>
                                <w:b/>
                                <w:color w:val="000000" w:themeColor="text1"/>
                                <w:szCs w:val="24"/>
                                <w:lang w:val="en-GB"/>
                              </w:rPr>
                              <w:t>Data available in databases</w:t>
                            </w:r>
                          </w:p>
                          <w:p w:rsidR="00A267EF" w:rsidRPr="006C4B14" w:rsidRDefault="003B54EB" w:rsidP="00A267EF">
                            <w:pPr>
                              <w:rPr>
                                <w:rStyle w:val="Hipercze"/>
                                <w:rFonts w:cs="Arial"/>
                                <w:color w:val="001D77"/>
                                <w:sz w:val="18"/>
                                <w:szCs w:val="30"/>
                                <w:shd w:val="clear" w:color="auto" w:fill="F0F0F0"/>
                                <w:lang w:val="en-GB"/>
                              </w:rPr>
                            </w:pPr>
                            <w:hyperlink r:id="rId31" w:history="1">
                              <w:r w:rsidR="00A267EF" w:rsidRPr="008B4384">
                                <w:rPr>
                                  <w:rStyle w:val="Hipercze"/>
                                  <w:rFonts w:cs="Arial"/>
                                  <w:sz w:val="18"/>
                                  <w:szCs w:val="30"/>
                                  <w:shd w:val="clear" w:color="auto" w:fill="F0F0F0"/>
                                  <w:lang w:val="en-GB"/>
                                </w:rPr>
                                <w:t>Local Data Bank</w:t>
                              </w:r>
                            </w:hyperlink>
                          </w:p>
                          <w:p w:rsidR="00A267EF" w:rsidRPr="00976BED" w:rsidRDefault="00A267EF" w:rsidP="00A267EF">
                            <w:pPr>
                              <w:rPr>
                                <w:b/>
                                <w:color w:val="000000" w:themeColor="text1"/>
                                <w:szCs w:val="24"/>
                                <w:lang w:val="en-GB"/>
                              </w:rPr>
                            </w:pPr>
                          </w:p>
                          <w:p w:rsidR="00A267EF" w:rsidRPr="00976BED" w:rsidRDefault="00A267EF" w:rsidP="00A267EF">
                            <w:pPr>
                              <w:rPr>
                                <w:b/>
                                <w:color w:val="000000" w:themeColor="text1"/>
                                <w:szCs w:val="24"/>
                                <w:lang w:val="en-GB"/>
                              </w:rPr>
                            </w:pPr>
                            <w:r w:rsidRPr="00976BED">
                              <w:rPr>
                                <w:b/>
                                <w:color w:val="000000" w:themeColor="text1"/>
                                <w:szCs w:val="24"/>
                                <w:lang w:val="en-GB"/>
                              </w:rPr>
                              <w:t>Terms used in official statistics</w:t>
                            </w:r>
                          </w:p>
                          <w:p w:rsidR="00A267EF" w:rsidRPr="008B4384" w:rsidRDefault="00A267EF" w:rsidP="00A267EF">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 xml:space="preserve"> HYPERLINK "https://stat.gov.pl/en/metainformations/glossary/terms-used-in-official-statistics/539,term.html" \o "Tourist" </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Tourist</w:t>
                            </w:r>
                          </w:p>
                          <w:p w:rsidR="00A267EF" w:rsidRPr="008B4384" w:rsidRDefault="00A267EF" w:rsidP="00A267EF">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end"/>
                            </w: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 xml:space="preserve"> HYPERLINK "https://stat.gov.pl/en/metainformations/glossary/terms-used-in-official-statistics/245,term.html" \o "Tourist accommodation establishment" </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Tourist accommodation establishment</w:t>
                            </w:r>
                          </w:p>
                          <w:p w:rsidR="00A267EF" w:rsidRPr="008B4384" w:rsidRDefault="00A267EF" w:rsidP="00A267EF">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end"/>
                            </w: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 xml:space="preserve"> HYPERLINK "https://stat.gov.pl/en/metainformations/glossary/terms-used-in-official-statistics/1231,term.html" \o "Bed places in tourist accommodation establishments." </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Bed places in tourist accommodation establishments</w:t>
                            </w:r>
                          </w:p>
                          <w:p w:rsidR="00A267EF" w:rsidRPr="008B4384" w:rsidRDefault="00A267EF" w:rsidP="00A267EF">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end"/>
                            </w: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 xml:space="preserve"> HYPERLINK "https://stat.gov.pl/en/metainformations/glossary/terms-used-in-official-statistics/1233,term.html" \o "Nights spent (overnight stays) in tourist accommodation establishments." </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Nights spent (overnight stays) in tourist accommodation establishments.</w:t>
                            </w:r>
                          </w:p>
                          <w:p w:rsidR="00A267EF" w:rsidRPr="008B4384" w:rsidRDefault="00A267EF" w:rsidP="00A267EF">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end"/>
                            </w: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HYPERLINK "https://stat.gov.pl/en/metainformations/glossary/terms-used-in-official-statistics/3487,term.html" \o "Duration of the stay"</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Duration of the stay</w:t>
                            </w:r>
                          </w:p>
                          <w:p w:rsidR="00A267EF" w:rsidRPr="008B4384" w:rsidRDefault="00A267EF" w:rsidP="00A267EF">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end"/>
                            </w:r>
                            <w:r w:rsidRPr="008B4384">
                              <w:rPr>
                                <w:rStyle w:val="Hipercze"/>
                                <w:rFonts w:cs="Arial"/>
                                <w:sz w:val="18"/>
                                <w:lang w:val="en-GB"/>
                              </w:rPr>
                              <w:fldChar w:fldCharType="begin"/>
                            </w:r>
                            <w:r w:rsidRPr="008B4384">
                              <w:rPr>
                                <w:rStyle w:val="Hipercze"/>
                                <w:rFonts w:cs="Arial"/>
                                <w:sz w:val="18"/>
                                <w:lang w:val="en-GB"/>
                              </w:rPr>
                              <w:instrText xml:space="preserve"> HYPERLINK "https://stat.gov.pl/en/metainformations/glossary/terms-used-in-official-statistics/1239,term.html" </w:instrText>
                            </w:r>
                            <w:r w:rsidRPr="008B4384">
                              <w:rPr>
                                <w:rStyle w:val="Hipercze"/>
                                <w:rFonts w:cs="Arial"/>
                                <w:sz w:val="18"/>
                                <w:lang w:val="en-GB"/>
                              </w:rPr>
                              <w:fldChar w:fldCharType="separate"/>
                            </w:r>
                            <w:r w:rsidRPr="008B4384">
                              <w:rPr>
                                <w:rStyle w:val="Hipercze"/>
                                <w:rFonts w:cs="Arial"/>
                                <w:sz w:val="18"/>
                                <w:szCs w:val="30"/>
                                <w:shd w:val="clear" w:color="auto" w:fill="F0F0F0"/>
                                <w:lang w:val="en-GB"/>
                              </w:rPr>
                              <w:t>Occupancy rate of bed places or rooms</w:t>
                            </w:r>
                          </w:p>
                          <w:p w:rsidR="00A267EF" w:rsidRPr="008D0725" w:rsidRDefault="00A267EF" w:rsidP="00A267EF">
                            <w:pPr>
                              <w:rPr>
                                <w:b/>
                                <w:color w:val="000000" w:themeColor="text1"/>
                                <w:szCs w:val="24"/>
                              </w:rPr>
                            </w:pPr>
                            <w:r w:rsidRPr="008B4384">
                              <w:rPr>
                                <w:rStyle w:val="Hipercze"/>
                                <w:rFonts w:cs="Arial"/>
                                <w:sz w:val="18"/>
                                <w:lang w:val="en-G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2728F" id="_x0000_s1032" type="#_x0000_t202" style="position:absolute;margin-left:1.5pt;margin-top:33.5pt;width:516.5pt;height:349.8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" fillcolor="#f2f2f2 [3052]" strokecolor="white [3212]">
                <v:textbox>
                  <w:txbxContent>
                    <w:p w:rsidR="00A267EF" w:rsidRDefault="00A267EF" w:rsidP="00A267EF">
                      <w:pPr>
                        <w:rPr>
                          <w:b/>
                        </w:rPr>
                      </w:pPr>
                    </w:p>
                    <w:p w:rsidR="00A267EF" w:rsidRDefault="00A267EF" w:rsidP="00A267EF">
                      <w:pPr>
                        <w:rPr>
                          <w:b/>
                          <w:lang w:val="en-GB"/>
                        </w:rPr>
                      </w:pPr>
                      <w:r w:rsidRPr="00976BED">
                        <w:rPr>
                          <w:b/>
                          <w:lang w:val="en-GB"/>
                        </w:rPr>
                        <w:t>Related information</w:t>
                      </w:r>
                    </w:p>
                    <w:p w:rsidR="0050635C" w:rsidRPr="00FC06F8" w:rsidRDefault="006C2208" w:rsidP="00A267EF">
                      <w:pPr>
                        <w:rPr>
                          <w:rStyle w:val="Hipercze"/>
                          <w:rFonts w:cs="Arial"/>
                          <w:sz w:val="18"/>
                          <w:szCs w:val="30"/>
                          <w:shd w:val="clear" w:color="auto" w:fill="F0F0F0"/>
                          <w:lang w:val="en-GB"/>
                        </w:rPr>
                      </w:pPr>
                      <w:hyperlink r:id="rId32" w:history="1">
                        <w:r w:rsidR="00FC06F8" w:rsidRPr="00FC06F8">
                          <w:rPr>
                            <w:rStyle w:val="Hipercze"/>
                            <w:rFonts w:cs="Arial"/>
                            <w:sz w:val="18"/>
                            <w:szCs w:val="30"/>
                            <w:shd w:val="clear" w:color="auto" w:fill="F0F0F0"/>
                            <w:lang w:val="en-GB"/>
                          </w:rPr>
                          <w:t>Occupancy of tourist accommodation establishments in Poland in June and July 2020</w:t>
                        </w:r>
                      </w:hyperlink>
                    </w:p>
                    <w:p w:rsidR="00A267EF" w:rsidRPr="008B4384" w:rsidRDefault="008B4384" w:rsidP="00A267EF">
                      <w:pPr>
                        <w:rPr>
                          <w:rStyle w:val="Hipercze"/>
                          <w:rFonts w:cs="Arial"/>
                          <w:sz w:val="18"/>
                          <w:szCs w:val="30"/>
                          <w:shd w:val="clear" w:color="auto" w:fill="F0F0F0"/>
                          <w:lang w:val="en-GB"/>
                        </w:rPr>
                      </w:pPr>
                      <w:r>
                        <w:rPr>
                          <w:lang w:val="en-GB"/>
                        </w:rPr>
                        <w:fldChar w:fldCharType="begin"/>
                      </w:r>
                      <w:r>
                        <w:rPr>
                          <w:lang w:val="en-GB"/>
                        </w:rPr>
                        <w:instrText xml:space="preserve"> HYPERLINK "https://stat.gov.pl/en/topics/culture-tourism-sport/tourism/occupancy-of-tourist-accommodation-establishments-in-poland-in-may-and-june-2020,5,20.html" </w:instrText>
                      </w:r>
                      <w:r>
                        <w:rPr>
                          <w:lang w:val="en-GB"/>
                        </w:rPr>
                        <w:fldChar w:fldCharType="separate"/>
                      </w:r>
                      <w:r w:rsidRPr="008B4384">
                        <w:rPr>
                          <w:rStyle w:val="Hipercze"/>
                          <w:rFonts w:cs="Arial"/>
                          <w:sz w:val="18"/>
                          <w:szCs w:val="30"/>
                          <w:shd w:val="clear" w:color="auto" w:fill="F0F0F0"/>
                          <w:lang w:val="en-GB"/>
                        </w:rPr>
                        <w:t>Occupancy of tourist accommodation establishments in Poland in May and June 2020</w:t>
                      </w:r>
                    </w:p>
                    <w:p w:rsidR="008B4384" w:rsidRPr="008B4384" w:rsidRDefault="008B4384" w:rsidP="00A267EF">
                      <w:pPr>
                        <w:rPr>
                          <w:rStyle w:val="Hipercze"/>
                          <w:rFonts w:cs="Arial"/>
                          <w:color w:val="001D77"/>
                          <w:sz w:val="18"/>
                          <w:szCs w:val="30"/>
                          <w:shd w:val="clear" w:color="auto" w:fill="F0F0F0"/>
                          <w:lang w:val="en-GB"/>
                        </w:rPr>
                      </w:pPr>
                      <w:r>
                        <w:rPr>
                          <w:lang w:val="en-GB"/>
                        </w:rPr>
                        <w:fldChar w:fldCharType="end"/>
                      </w:r>
                      <w:hyperlink r:id="rId33" w:history="1">
                        <w:r w:rsidRPr="008B4384">
                          <w:rPr>
                            <w:rStyle w:val="Hipercze"/>
                            <w:rFonts w:cstheme="minorBidi"/>
                            <w:lang w:val="en-GB"/>
                          </w:rPr>
                          <w:t>Occupancy of tourist accommodation establishments in Poland in April and May 2020</w:t>
                        </w:r>
                      </w:hyperlink>
                    </w:p>
                    <w:p w:rsidR="008B4384" w:rsidRDefault="006C2208" w:rsidP="00A267EF">
                      <w:pPr>
                        <w:rPr>
                          <w:rStyle w:val="Hipercze"/>
                          <w:rFonts w:cs="Arial"/>
                          <w:color w:val="001D77"/>
                          <w:sz w:val="18"/>
                          <w:szCs w:val="30"/>
                          <w:shd w:val="clear" w:color="auto" w:fill="F0F0F0"/>
                          <w:lang w:val="en-GB"/>
                        </w:rPr>
                      </w:pPr>
                      <w:hyperlink r:id="rId34" w:history="1">
                        <w:r w:rsidR="008B4384" w:rsidRPr="008B4384">
                          <w:rPr>
                            <w:rStyle w:val="Hipercze"/>
                            <w:rFonts w:cs="Arial"/>
                            <w:sz w:val="18"/>
                            <w:szCs w:val="30"/>
                            <w:shd w:val="clear" w:color="auto" w:fill="F0F0F0"/>
                            <w:lang w:val="en-GB"/>
                          </w:rPr>
                          <w:t>Occupancy of tourist accommodation establishments in the first quarter of 2020</w:t>
                        </w:r>
                      </w:hyperlink>
                    </w:p>
                    <w:p w:rsidR="008B4384" w:rsidRPr="008B4384" w:rsidRDefault="006C2208" w:rsidP="00A267EF">
                      <w:pPr>
                        <w:rPr>
                          <w:rStyle w:val="Hipercze"/>
                          <w:rFonts w:cs="Arial"/>
                          <w:color w:val="001D77"/>
                          <w:sz w:val="18"/>
                          <w:szCs w:val="30"/>
                          <w:shd w:val="clear" w:color="auto" w:fill="F0F0F0"/>
                          <w:lang w:val="en-GB"/>
                        </w:rPr>
                      </w:pPr>
                      <w:hyperlink r:id="rId35" w:history="1">
                        <w:r w:rsidR="008B4384" w:rsidRPr="008B4384">
                          <w:rPr>
                            <w:rStyle w:val="Hipercze"/>
                            <w:rFonts w:cs="Arial"/>
                            <w:sz w:val="18"/>
                            <w:szCs w:val="30"/>
                            <w:shd w:val="clear" w:color="auto" w:fill="F0F0F0"/>
                            <w:lang w:val="en-GB"/>
                          </w:rPr>
                          <w:t>Occupancy of tourist accommodation establishments in Poland in March and April 2020</w:t>
                        </w:r>
                      </w:hyperlink>
                    </w:p>
                    <w:p w:rsidR="008B4384" w:rsidRPr="008B4384" w:rsidRDefault="006C2208" w:rsidP="00A267EF">
                      <w:pPr>
                        <w:rPr>
                          <w:rStyle w:val="Hipercze"/>
                          <w:rFonts w:cs="Arial"/>
                          <w:color w:val="001D77"/>
                          <w:sz w:val="18"/>
                          <w:szCs w:val="30"/>
                          <w:shd w:val="clear" w:color="auto" w:fill="F0F0F0"/>
                          <w:lang w:val="en-GB"/>
                        </w:rPr>
                      </w:pPr>
                      <w:hyperlink r:id="rId36" w:history="1">
                        <w:r w:rsidR="008B4384" w:rsidRPr="008B4384">
                          <w:rPr>
                            <w:rStyle w:val="Hipercze"/>
                            <w:rFonts w:cs="Arial"/>
                            <w:sz w:val="18"/>
                            <w:szCs w:val="30"/>
                            <w:shd w:val="clear" w:color="auto" w:fill="F0F0F0"/>
                            <w:lang w:val="en-GB"/>
                          </w:rPr>
                          <w:t>Tourism in Poland in the face of COVID-19 pandemic</w:t>
                        </w:r>
                      </w:hyperlink>
                    </w:p>
                    <w:p w:rsidR="008B4384" w:rsidRPr="008B4384" w:rsidRDefault="008B4384" w:rsidP="008B4384">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HYPERLINK "https://stat.gov.pl/obszary-tematyczne/kultura-turystyka-sport/turystyka/turystyka-w-2019-roku,1,17.html"</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Tourism in 2019</w:t>
                      </w:r>
                    </w:p>
                    <w:p w:rsidR="008B4384" w:rsidRDefault="008B4384" w:rsidP="008B4384">
                      <w:pPr>
                        <w:rPr>
                          <w:rStyle w:val="Hipercze"/>
                          <w:rFonts w:cs="Arial"/>
                          <w:color w:val="001D77"/>
                          <w:sz w:val="18"/>
                          <w:szCs w:val="30"/>
                          <w:shd w:val="clear" w:color="auto" w:fill="F0F0F0"/>
                          <w:lang w:val="en-GB"/>
                        </w:rPr>
                      </w:pPr>
                      <w:r w:rsidRPr="008B4384">
                        <w:rPr>
                          <w:rStyle w:val="Hipercze"/>
                          <w:rFonts w:cs="Arial"/>
                          <w:sz w:val="18"/>
                          <w:szCs w:val="30"/>
                          <w:shd w:val="clear" w:color="auto" w:fill="F0F0F0"/>
                          <w:lang w:val="en-GB"/>
                        </w:rPr>
                        <w:fldChar w:fldCharType="end"/>
                      </w:r>
                    </w:p>
                    <w:p w:rsidR="00A267EF" w:rsidRPr="00976BED" w:rsidRDefault="00A267EF" w:rsidP="00A267EF">
                      <w:pPr>
                        <w:rPr>
                          <w:b/>
                          <w:color w:val="000000" w:themeColor="text1"/>
                          <w:szCs w:val="24"/>
                          <w:lang w:val="en-GB"/>
                        </w:rPr>
                      </w:pPr>
                      <w:r w:rsidRPr="00976BED">
                        <w:rPr>
                          <w:b/>
                          <w:color w:val="000000" w:themeColor="text1"/>
                          <w:szCs w:val="24"/>
                          <w:lang w:val="en-GB"/>
                        </w:rPr>
                        <w:t>Data available in databases</w:t>
                      </w:r>
                    </w:p>
                    <w:p w:rsidR="00A267EF" w:rsidRPr="006C4B14" w:rsidRDefault="006C2208" w:rsidP="00A267EF">
                      <w:pPr>
                        <w:rPr>
                          <w:rStyle w:val="Hipercze"/>
                          <w:rFonts w:cs="Arial"/>
                          <w:color w:val="001D77"/>
                          <w:sz w:val="18"/>
                          <w:szCs w:val="30"/>
                          <w:shd w:val="clear" w:color="auto" w:fill="F0F0F0"/>
                          <w:lang w:val="en-GB"/>
                        </w:rPr>
                      </w:pPr>
                      <w:hyperlink r:id="rId37" w:history="1">
                        <w:r w:rsidR="00A267EF" w:rsidRPr="008B4384">
                          <w:rPr>
                            <w:rStyle w:val="Hipercze"/>
                            <w:rFonts w:cs="Arial"/>
                            <w:sz w:val="18"/>
                            <w:szCs w:val="30"/>
                            <w:shd w:val="clear" w:color="auto" w:fill="F0F0F0"/>
                            <w:lang w:val="en-GB"/>
                          </w:rPr>
                          <w:t>Local Data Bank</w:t>
                        </w:r>
                      </w:hyperlink>
                    </w:p>
                    <w:p w:rsidR="00A267EF" w:rsidRPr="00976BED" w:rsidRDefault="00A267EF" w:rsidP="00A267EF">
                      <w:pPr>
                        <w:rPr>
                          <w:b/>
                          <w:color w:val="000000" w:themeColor="text1"/>
                          <w:szCs w:val="24"/>
                          <w:lang w:val="en-GB"/>
                        </w:rPr>
                      </w:pPr>
                    </w:p>
                    <w:p w:rsidR="00A267EF" w:rsidRPr="00976BED" w:rsidRDefault="00A267EF" w:rsidP="00A267EF">
                      <w:pPr>
                        <w:rPr>
                          <w:b/>
                          <w:color w:val="000000" w:themeColor="text1"/>
                          <w:szCs w:val="24"/>
                          <w:lang w:val="en-GB"/>
                        </w:rPr>
                      </w:pPr>
                      <w:r w:rsidRPr="00976BED">
                        <w:rPr>
                          <w:b/>
                          <w:color w:val="000000" w:themeColor="text1"/>
                          <w:szCs w:val="24"/>
                          <w:lang w:val="en-GB"/>
                        </w:rPr>
                        <w:t>Terms used in official statistics</w:t>
                      </w:r>
                    </w:p>
                    <w:p w:rsidR="00A267EF" w:rsidRPr="008B4384" w:rsidRDefault="00A267EF" w:rsidP="00A267EF">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 xml:space="preserve"> HYPERLINK "https://stat.gov.pl/en/metainformations/glossary/terms-used-in-official-statistics/539,term.html" \o "Tourist" </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Tourist</w:t>
                      </w:r>
                    </w:p>
                    <w:p w:rsidR="00A267EF" w:rsidRPr="008B4384" w:rsidRDefault="00A267EF" w:rsidP="00A267EF">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end"/>
                      </w: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 xml:space="preserve"> HYPERLINK "https://stat.gov.pl/en/metainformations/glossary/terms-used-in-official-statistics/245,term.html" \o "Tourist accommodation establishment" </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Tourist accommodation establishment</w:t>
                      </w:r>
                    </w:p>
                    <w:p w:rsidR="00A267EF" w:rsidRPr="008B4384" w:rsidRDefault="00A267EF" w:rsidP="00A267EF">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end"/>
                      </w: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 xml:space="preserve"> HYPERLINK "https://stat.gov.pl/en/metainformations/glossary/terms-used-in-official-statistics/1231,term.html" \o "Bed places in tourist accommodation establishments." </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Bed places in tourist accommodation establishments</w:t>
                      </w:r>
                    </w:p>
                    <w:p w:rsidR="00A267EF" w:rsidRPr="008B4384" w:rsidRDefault="00A267EF" w:rsidP="00A267EF">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end"/>
                      </w: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 xml:space="preserve"> HYPERLINK "https://stat.gov.pl/en/metainformations/glossary/terms-used-in-official-statistics/1233,term.html" \o "Nights spent (overnight stays) in tourist accommodation establishments." </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Nights spent (overnight stays) in tourist accommodation establishments.</w:t>
                      </w:r>
                    </w:p>
                    <w:p w:rsidR="00A267EF" w:rsidRPr="008B4384" w:rsidRDefault="00A267EF" w:rsidP="00A267EF">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end"/>
                      </w:r>
                      <w:r w:rsidRPr="008B4384">
                        <w:rPr>
                          <w:rStyle w:val="Hipercze"/>
                          <w:rFonts w:cs="Arial"/>
                          <w:sz w:val="18"/>
                          <w:szCs w:val="30"/>
                          <w:shd w:val="clear" w:color="auto" w:fill="F0F0F0"/>
                          <w:lang w:val="en-GB"/>
                        </w:rPr>
                        <w:fldChar w:fldCharType="begin"/>
                      </w:r>
                      <w:r w:rsidRPr="008B4384">
                        <w:rPr>
                          <w:rStyle w:val="Hipercze"/>
                          <w:rFonts w:cs="Arial"/>
                          <w:sz w:val="18"/>
                          <w:szCs w:val="30"/>
                          <w:shd w:val="clear" w:color="auto" w:fill="F0F0F0"/>
                          <w:lang w:val="en-GB"/>
                        </w:rPr>
                        <w:instrText>HYPERLINK "https://stat.gov.pl/en/metainformations/glossary/terms-used-in-official-statistics/3487,term.html" \o "Duration of the stay"</w:instrText>
                      </w:r>
                      <w:r w:rsidRPr="008B4384">
                        <w:rPr>
                          <w:rStyle w:val="Hipercze"/>
                          <w:rFonts w:cs="Arial"/>
                          <w:sz w:val="18"/>
                          <w:szCs w:val="30"/>
                          <w:shd w:val="clear" w:color="auto" w:fill="F0F0F0"/>
                          <w:lang w:val="en-GB"/>
                        </w:rPr>
                        <w:fldChar w:fldCharType="separate"/>
                      </w:r>
                      <w:r w:rsidRPr="008B4384">
                        <w:rPr>
                          <w:rStyle w:val="Hipercze"/>
                          <w:rFonts w:cs="Arial"/>
                          <w:sz w:val="18"/>
                          <w:szCs w:val="30"/>
                          <w:shd w:val="clear" w:color="auto" w:fill="F0F0F0"/>
                          <w:lang w:val="en-GB"/>
                        </w:rPr>
                        <w:t>Duration of the stay</w:t>
                      </w:r>
                    </w:p>
                    <w:p w:rsidR="00A267EF" w:rsidRPr="008B4384" w:rsidRDefault="00A267EF" w:rsidP="00A267EF">
                      <w:pPr>
                        <w:rPr>
                          <w:rStyle w:val="Hipercze"/>
                          <w:rFonts w:cs="Arial"/>
                          <w:sz w:val="18"/>
                          <w:szCs w:val="30"/>
                          <w:shd w:val="clear" w:color="auto" w:fill="F0F0F0"/>
                          <w:lang w:val="en-GB"/>
                        </w:rPr>
                      </w:pPr>
                      <w:r w:rsidRPr="008B4384">
                        <w:rPr>
                          <w:rStyle w:val="Hipercze"/>
                          <w:rFonts w:cs="Arial"/>
                          <w:sz w:val="18"/>
                          <w:szCs w:val="30"/>
                          <w:shd w:val="clear" w:color="auto" w:fill="F0F0F0"/>
                          <w:lang w:val="en-GB"/>
                        </w:rPr>
                        <w:fldChar w:fldCharType="end"/>
                      </w:r>
                      <w:r w:rsidRPr="008B4384">
                        <w:rPr>
                          <w:rStyle w:val="Hipercze"/>
                          <w:rFonts w:cs="Arial"/>
                          <w:sz w:val="18"/>
                          <w:lang w:val="en-GB"/>
                        </w:rPr>
                        <w:fldChar w:fldCharType="begin"/>
                      </w:r>
                      <w:r w:rsidRPr="008B4384">
                        <w:rPr>
                          <w:rStyle w:val="Hipercze"/>
                          <w:rFonts w:cs="Arial"/>
                          <w:sz w:val="18"/>
                          <w:lang w:val="en-GB"/>
                        </w:rPr>
                        <w:instrText xml:space="preserve"> HYPERLINK "https://stat.gov.pl/en/metainformations/glossary/terms-used-in-official-statistics/1239,term.html" </w:instrText>
                      </w:r>
                      <w:r w:rsidRPr="008B4384">
                        <w:rPr>
                          <w:rStyle w:val="Hipercze"/>
                          <w:rFonts w:cs="Arial"/>
                          <w:sz w:val="18"/>
                          <w:lang w:val="en-GB"/>
                        </w:rPr>
                        <w:fldChar w:fldCharType="separate"/>
                      </w:r>
                      <w:r w:rsidRPr="008B4384">
                        <w:rPr>
                          <w:rStyle w:val="Hipercze"/>
                          <w:rFonts w:cs="Arial"/>
                          <w:sz w:val="18"/>
                          <w:szCs w:val="30"/>
                          <w:shd w:val="clear" w:color="auto" w:fill="F0F0F0"/>
                          <w:lang w:val="en-GB"/>
                        </w:rPr>
                        <w:t>Occupancy rate of bed places or rooms</w:t>
                      </w:r>
                    </w:p>
                    <w:p w:rsidR="00A267EF" w:rsidRPr="008D0725" w:rsidRDefault="00A267EF" w:rsidP="00A267EF">
                      <w:pPr>
                        <w:rPr>
                          <w:b/>
                          <w:color w:val="000000" w:themeColor="text1"/>
                          <w:szCs w:val="24"/>
                        </w:rPr>
                      </w:pPr>
                      <w:r w:rsidRPr="008B4384">
                        <w:rPr>
                          <w:rStyle w:val="Hipercze"/>
                          <w:rFonts w:cs="Arial"/>
                          <w:sz w:val="18"/>
                          <w:lang w:val="en-GB"/>
                        </w:rPr>
                        <w:fldChar w:fldCharType="end"/>
                      </w:r>
                    </w:p>
                  </w:txbxContent>
                </v:textbox>
                <w10:wrap type="square" anchorx="margin"/>
              </v:shape>
            </w:pict>
          </mc:Fallback>
        </mc:AlternateContent>
      </w:r>
    </w:p>
    <w:p w:rsidR="00A267EF" w:rsidRPr="00C818A9" w:rsidRDefault="00A267EF" w:rsidP="00A267EF">
      <w:pPr>
        <w:rPr>
          <w:sz w:val="18"/>
          <w:lang w:val="en-GB"/>
        </w:rPr>
      </w:pPr>
    </w:p>
    <w:p w:rsidR="00D261A2" w:rsidRPr="00001C5B" w:rsidRDefault="00D261A2" w:rsidP="00E76D26">
      <w:pPr>
        <w:rPr>
          <w:sz w:val="18"/>
        </w:rPr>
      </w:pPr>
    </w:p>
    <w:sectPr w:rsidR="00D261A2" w:rsidRPr="00001C5B" w:rsidSect="003B18B6">
      <w:headerReference w:type="default" r:id="rId38"/>
      <w:footerReference w:type="default" r:id="rId39"/>
      <w:pgSz w:w="11906" w:h="16838"/>
      <w:pgMar w:top="720" w:right="3119" w:bottom="720" w:left="72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64" w:rsidRDefault="00CE1464" w:rsidP="000662E2">
      <w:pPr>
        <w:spacing w:after="0" w:line="240" w:lineRule="auto"/>
      </w:pPr>
      <w:r>
        <w:separator/>
      </w:r>
    </w:p>
  </w:endnote>
  <w:endnote w:type="continuationSeparator" w:id="0">
    <w:p w:rsidR="00CE1464" w:rsidRDefault="00CE1464" w:rsidP="0006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Light">
    <w:panose1 w:val="020B0403050000020004"/>
    <w:charset w:val="EE"/>
    <w:family w:val="swiss"/>
    <w:pitch w:val="variable"/>
    <w:sig w:usb0="600002FF" w:usb1="02000001" w:usb2="00000000" w:usb3="00000000" w:csb0="0000019F" w:csb1="00000000"/>
  </w:font>
  <w:font w:name="Fira Sans">
    <w:panose1 w:val="020B0503050000020004"/>
    <w:charset w:val="EE"/>
    <w:family w:val="swiss"/>
    <w:pitch w:val="variable"/>
    <w:sig w:usb0="600002FF" w:usb1="02000001" w:usb2="00000000" w:usb3="00000000" w:csb0="0000019F" w:csb1="00000000"/>
  </w:font>
  <w:font w:name="Fira Sans SemiBold">
    <w:panose1 w:val="020B0603050000020004"/>
    <w:charset w:val="EE"/>
    <w:family w:val="swiss"/>
    <w:pitch w:val="variable"/>
    <w:sig w:usb0="600002FF" w:usb1="02000001" w:usb2="00000000" w:usb3="00000000" w:csb0="0000019F" w:csb1="00000000"/>
  </w:font>
  <w:font w:name="Fira Sans Medium">
    <w:panose1 w:val="020B0603050000020004"/>
    <w:charset w:val="EE"/>
    <w:family w:val="swiss"/>
    <w:pitch w:val="variable"/>
    <w:sig w:usb0="600002FF"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ira Sans Extra Condensed SemiB">
    <w:panose1 w:val="020B06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10854"/>
      <w:docPartObj>
        <w:docPartGallery w:val="Page Numbers (Bottom of Page)"/>
        <w:docPartUnique/>
      </w:docPartObj>
    </w:sdtPr>
    <w:sdtEndPr/>
    <w:sdtContent>
      <w:p w:rsidR="00EB556D" w:rsidRDefault="00541E6E" w:rsidP="003B18B6">
        <w:pPr>
          <w:pStyle w:val="Stopka"/>
          <w:jc w:val="center"/>
        </w:pPr>
        <w:r>
          <w:fldChar w:fldCharType="begin"/>
        </w:r>
        <w:r>
          <w:instrText>PAGE   \* MERGEFORMAT</w:instrText>
        </w:r>
        <w:r>
          <w:fldChar w:fldCharType="separate"/>
        </w:r>
        <w:r w:rsidR="003B54EB">
          <w:rPr>
            <w:noProof/>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21397"/>
      <w:docPartObj>
        <w:docPartGallery w:val="Page Numbers (Bottom of Page)"/>
        <w:docPartUnique/>
      </w:docPartObj>
    </w:sdtPr>
    <w:sdtEndPr/>
    <w:sdtContent>
      <w:p w:rsidR="00EB556D" w:rsidRDefault="00541E6E" w:rsidP="003B18B6">
        <w:pPr>
          <w:pStyle w:val="Stopka"/>
          <w:jc w:val="center"/>
        </w:pPr>
        <w:r>
          <w:fldChar w:fldCharType="begin"/>
        </w:r>
        <w:r>
          <w:instrText>PAGE   \* MERGEFORMAT</w:instrText>
        </w:r>
        <w:r>
          <w:fldChar w:fldCharType="separate"/>
        </w:r>
        <w:r w:rsidR="003B54EB">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36839"/>
      <w:docPartObj>
        <w:docPartGallery w:val="Page Numbers (Bottom of Page)"/>
        <w:docPartUnique/>
      </w:docPartObj>
    </w:sdtPr>
    <w:sdtEndPr/>
    <w:sdtContent>
      <w:p w:rsidR="003B18B6" w:rsidRDefault="003B18B6" w:rsidP="003B18B6">
        <w:pPr>
          <w:pStyle w:val="Stopka"/>
          <w:jc w:val="center"/>
        </w:pPr>
        <w:r>
          <w:fldChar w:fldCharType="begin"/>
        </w:r>
        <w:r>
          <w:instrText>PAGE   \* MERGEFORMAT</w:instrText>
        </w:r>
        <w:r>
          <w:fldChar w:fldCharType="separate"/>
        </w:r>
        <w:r w:rsidR="003B54EB">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64" w:rsidRDefault="00CE1464" w:rsidP="000662E2">
      <w:pPr>
        <w:spacing w:after="0" w:line="240" w:lineRule="auto"/>
      </w:pPr>
      <w:r>
        <w:separator/>
      </w:r>
    </w:p>
  </w:footnote>
  <w:footnote w:type="continuationSeparator" w:id="0">
    <w:p w:rsidR="00CE1464" w:rsidRDefault="00CE1464" w:rsidP="0006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E2" w:rsidRDefault="003C6C8D">
    <w:pPr>
      <w:pStyle w:val="Nagwek"/>
    </w:pPr>
    <w:r>
      <w:rPr>
        <w:noProof/>
        <w:lang w:eastAsia="pl-PL"/>
      </w:rPr>
      <mc:AlternateContent>
        <mc:Choice Requires="wps">
          <w:drawing>
            <wp:anchor distT="0" distB="0" distL="114300" distR="114300" simplePos="0" relativeHeight="251662336" behindDoc="1" locked="0" layoutInCell="1" allowOverlap="1" wp14:anchorId="0ADAE8A4" wp14:editId="0B1BA157">
              <wp:simplePos x="0" y="0"/>
              <wp:positionH relativeFrom="column">
                <wp:posOffset>5214620</wp:posOffset>
              </wp:positionH>
              <wp:positionV relativeFrom="paragraph">
                <wp:posOffset>-178435</wp:posOffset>
              </wp:positionV>
              <wp:extent cx="1874520" cy="22680295"/>
              <wp:effectExtent l="0" t="0" r="0" b="8255"/>
              <wp:wrapNone/>
              <wp:docPr id="24" name="Prostokąt 24"/>
              <wp:cNvGraphicFramePr/>
              <a:graphic xmlns:a="http://schemas.openxmlformats.org/drawingml/2006/main">
                <a:graphicData uri="http://schemas.microsoft.com/office/word/2010/wordprocessingShape">
                  <wps:wsp>
                    <wps:cNvSpPr/>
                    <wps:spPr>
                      <a:xfrm>
                        <a:off x="0" y="0"/>
                        <a:ext cx="1874520" cy="226802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10F4F" id="Prostokąt 24" o:spid="_x0000_s1026" style="position:absolute;margin-left:410.6pt;margin-top:-14.05pt;width:147.6pt;height:178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" fillcolor="#f2f2f2 [3052]" stroked="f" strokeweight="1pt"/>
          </w:pict>
        </mc:Fallback>
      </mc:AlternateContent>
    </w:r>
  </w:p>
  <w:p w:rsidR="000662E2" w:rsidRDefault="000662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437" w:rsidRDefault="00D30555">
    <w:pPr>
      <w:pStyle w:val="Nagwek"/>
      <w:rPr>
        <w:noProof/>
        <w:lang w:eastAsia="pl-PL"/>
      </w:rPr>
    </w:pPr>
    <w:r>
      <w:rPr>
        <w:noProof/>
        <w:lang w:eastAsia="pl-PL"/>
      </w:rPr>
      <w:drawing>
        <wp:anchor distT="0" distB="0" distL="114300" distR="114300" simplePos="0" relativeHeight="251671552" behindDoc="0" locked="0" layoutInCell="1" allowOverlap="1" wp14:anchorId="39BE28B5" wp14:editId="4F2C7FF2">
          <wp:simplePos x="0" y="0"/>
          <wp:positionH relativeFrom="column">
            <wp:posOffset>0</wp:posOffset>
          </wp:positionH>
          <wp:positionV relativeFrom="paragraph">
            <wp:posOffset>-635</wp:posOffset>
          </wp:positionV>
          <wp:extent cx="1955800" cy="744855"/>
          <wp:effectExtent l="0" t="0" r="0" b="0"/>
          <wp:wrapSquare wrapText="bothSides"/>
          <wp:docPr id="4" name="Obraz 4" descr="C:\Users\zawistowskaB\AppData\Local\Microsoft\Windows\INetCache\Content.Word\logo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wistowskaB\AppData\Local\Microsoft\Windows\INetCache\Content.Word\logo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D4B" w:rsidRPr="00F37172">
      <w:rPr>
        <w:noProof/>
        <w:lang w:eastAsia="pl-PL"/>
      </w:rPr>
      <mc:AlternateContent>
        <mc:Choice Requires="wps">
          <w:drawing>
            <wp:anchor distT="0" distB="0" distL="114300" distR="114300" simplePos="0" relativeHeight="251668480" behindDoc="0" locked="0" layoutInCell="1" allowOverlap="1" wp14:anchorId="0A6F80E9" wp14:editId="72B13366">
              <wp:simplePos x="0" y="0"/>
              <wp:positionH relativeFrom="column">
                <wp:posOffset>5036820</wp:posOffset>
              </wp:positionH>
              <wp:positionV relativeFrom="paragraph">
                <wp:posOffset>198755</wp:posOffset>
              </wp:positionV>
              <wp:extent cx="2060575" cy="357505"/>
              <wp:effectExtent l="0" t="0" r="0" b="4445"/>
              <wp:wrapNone/>
              <wp:docPr id="9" name="Schemat blokowy: opóźnienie 6"/>
              <wp:cNvGraphicFramePr/>
              <a:graphic xmlns:a="http://schemas.openxmlformats.org/drawingml/2006/main">
                <a:graphicData uri="http://schemas.microsoft.com/office/word/2010/wordprocessingShape">
                  <wps:wsp>
                    <wps:cNvSpPr/>
                    <wps:spPr>
                      <a:xfrm flipH="1">
                        <a:off x="0" y="0"/>
                        <a:ext cx="2060575" cy="357505"/>
                      </a:xfrm>
                      <a:custGeom>
                        <a:avLst/>
                        <a:gdLst>
                          <a:gd name="connsiteX0" fmla="*/ 0 w 612140"/>
                          <a:gd name="connsiteY0" fmla="*/ 0 h 612140"/>
                          <a:gd name="connsiteX1" fmla="*/ 306070 w 612140"/>
                          <a:gd name="connsiteY1" fmla="*/ 0 h 612140"/>
                          <a:gd name="connsiteX2" fmla="*/ 612140 w 612140"/>
                          <a:gd name="connsiteY2" fmla="*/ 306070 h 612140"/>
                          <a:gd name="connsiteX3" fmla="*/ 306070 w 612140"/>
                          <a:gd name="connsiteY3" fmla="*/ 612140 h 612140"/>
                          <a:gd name="connsiteX4" fmla="*/ 0 w 612140"/>
                          <a:gd name="connsiteY4" fmla="*/ 612140 h 612140"/>
                          <a:gd name="connsiteX5" fmla="*/ 0 w 612140"/>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1327068 w 1939208"/>
                          <a:gd name="connsiteY4" fmla="*/ 612140 h 612140"/>
                          <a:gd name="connsiteX5" fmla="*/ 0 w 1939208"/>
                          <a:gd name="connsiteY5" fmla="*/ 0 h 612140"/>
                          <a:gd name="connsiteX0" fmla="*/ 0 w 1939208"/>
                          <a:gd name="connsiteY0" fmla="*/ 0 h 612140"/>
                          <a:gd name="connsiteX1" fmla="*/ 1633138 w 1939208"/>
                          <a:gd name="connsiteY1" fmla="*/ 0 h 612140"/>
                          <a:gd name="connsiteX2" fmla="*/ 1939208 w 1939208"/>
                          <a:gd name="connsiteY2" fmla="*/ 306070 h 612140"/>
                          <a:gd name="connsiteX3" fmla="*/ 1633138 w 1939208"/>
                          <a:gd name="connsiteY3" fmla="*/ 612140 h 612140"/>
                          <a:gd name="connsiteX4" fmla="*/ 0 w 1939208"/>
                          <a:gd name="connsiteY4" fmla="*/ 612140 h 612140"/>
                          <a:gd name="connsiteX5" fmla="*/ 0 w 1939208"/>
                          <a:gd name="connsiteY5" fmla="*/ 0 h 612140"/>
                          <a:gd name="connsiteX0" fmla="*/ 1 w 3113643"/>
                          <a:gd name="connsiteY0" fmla="*/ 10131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1 w 3113643"/>
                          <a:gd name="connsiteY5" fmla="*/ 10131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1174435 w 3113643"/>
                          <a:gd name="connsiteY4" fmla="*/ 612140 h 612140"/>
                          <a:gd name="connsiteX5" fmla="*/ 0 w 3113643"/>
                          <a:gd name="connsiteY5" fmla="*/ 0 h 612140"/>
                          <a:gd name="connsiteX0" fmla="*/ 0 w 3113643"/>
                          <a:gd name="connsiteY0" fmla="*/ 0 h 612140"/>
                          <a:gd name="connsiteX1" fmla="*/ 2807573 w 3113643"/>
                          <a:gd name="connsiteY1" fmla="*/ 0 h 612140"/>
                          <a:gd name="connsiteX2" fmla="*/ 3113643 w 3113643"/>
                          <a:gd name="connsiteY2" fmla="*/ 306070 h 612140"/>
                          <a:gd name="connsiteX3" fmla="*/ 2807573 w 3113643"/>
                          <a:gd name="connsiteY3" fmla="*/ 612140 h 612140"/>
                          <a:gd name="connsiteX4" fmla="*/ 0 w 3113643"/>
                          <a:gd name="connsiteY4" fmla="*/ 612140 h 612140"/>
                          <a:gd name="connsiteX5" fmla="*/ 0 w 3113643"/>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788886 w 3902529"/>
                          <a:gd name="connsiteY4" fmla="*/ 612140 h 612140"/>
                          <a:gd name="connsiteX5" fmla="*/ 0 w 3902529"/>
                          <a:gd name="connsiteY5" fmla="*/ 0 h 612140"/>
                          <a:gd name="connsiteX0" fmla="*/ 0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0 w 3902529"/>
                          <a:gd name="connsiteY5" fmla="*/ 0 h 612140"/>
                          <a:gd name="connsiteX0" fmla="*/ 546911 w 3902529"/>
                          <a:gd name="connsiteY0" fmla="*/ 0 h 612140"/>
                          <a:gd name="connsiteX1" fmla="*/ 3596459 w 3902529"/>
                          <a:gd name="connsiteY1" fmla="*/ 0 h 612140"/>
                          <a:gd name="connsiteX2" fmla="*/ 3902529 w 3902529"/>
                          <a:gd name="connsiteY2" fmla="*/ 306070 h 612140"/>
                          <a:gd name="connsiteX3" fmla="*/ 3596459 w 3902529"/>
                          <a:gd name="connsiteY3" fmla="*/ 612140 h 612140"/>
                          <a:gd name="connsiteX4" fmla="*/ 0 w 3902529"/>
                          <a:gd name="connsiteY4" fmla="*/ 612140 h 612140"/>
                          <a:gd name="connsiteX5" fmla="*/ 546911 w 3902529"/>
                          <a:gd name="connsiteY5" fmla="*/ 0 h 612140"/>
                          <a:gd name="connsiteX0" fmla="*/ 23272 w 3378890"/>
                          <a:gd name="connsiteY0" fmla="*/ 0 h 612140"/>
                          <a:gd name="connsiteX1" fmla="*/ 3072820 w 3378890"/>
                          <a:gd name="connsiteY1" fmla="*/ 0 h 612140"/>
                          <a:gd name="connsiteX2" fmla="*/ 3378890 w 3378890"/>
                          <a:gd name="connsiteY2" fmla="*/ 306070 h 612140"/>
                          <a:gd name="connsiteX3" fmla="*/ 3072820 w 3378890"/>
                          <a:gd name="connsiteY3" fmla="*/ 612140 h 612140"/>
                          <a:gd name="connsiteX4" fmla="*/ 0 w 3378890"/>
                          <a:gd name="connsiteY4" fmla="*/ 612140 h 612140"/>
                          <a:gd name="connsiteX5" fmla="*/ 23272 w 3378890"/>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19571 w 3355618"/>
                          <a:gd name="connsiteY4" fmla="*/ 612140 h 612140"/>
                          <a:gd name="connsiteX5" fmla="*/ 0 w 3355618"/>
                          <a:gd name="connsiteY5" fmla="*/ 0 h 612140"/>
                          <a:gd name="connsiteX0" fmla="*/ 0 w 3355618"/>
                          <a:gd name="connsiteY0" fmla="*/ 0 h 612140"/>
                          <a:gd name="connsiteX1" fmla="*/ 3049548 w 3355618"/>
                          <a:gd name="connsiteY1" fmla="*/ 0 h 612140"/>
                          <a:gd name="connsiteX2" fmla="*/ 3355618 w 3355618"/>
                          <a:gd name="connsiteY2" fmla="*/ 306070 h 612140"/>
                          <a:gd name="connsiteX3" fmla="*/ 3049548 w 3355618"/>
                          <a:gd name="connsiteY3" fmla="*/ 612140 h 612140"/>
                          <a:gd name="connsiteX4" fmla="*/ 0 w 3355618"/>
                          <a:gd name="connsiteY4" fmla="*/ 612140 h 612140"/>
                          <a:gd name="connsiteX5" fmla="*/ 0 w 33556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171400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21835 w 3527018"/>
                          <a:gd name="connsiteY4" fmla="*/ 612140 h 612140"/>
                          <a:gd name="connsiteX5" fmla="*/ 0 w 3527018"/>
                          <a:gd name="connsiteY5" fmla="*/ 0 h 612140"/>
                          <a:gd name="connsiteX0" fmla="*/ 0 w 3527018"/>
                          <a:gd name="connsiteY0" fmla="*/ 0 h 612140"/>
                          <a:gd name="connsiteX1" fmla="*/ 3220948 w 3527018"/>
                          <a:gd name="connsiteY1" fmla="*/ 0 h 612140"/>
                          <a:gd name="connsiteX2" fmla="*/ 3527018 w 3527018"/>
                          <a:gd name="connsiteY2" fmla="*/ 306070 h 612140"/>
                          <a:gd name="connsiteX3" fmla="*/ 3220948 w 3527018"/>
                          <a:gd name="connsiteY3" fmla="*/ 612140 h 612140"/>
                          <a:gd name="connsiteX4" fmla="*/ 0 w 3527018"/>
                          <a:gd name="connsiteY4" fmla="*/ 612140 h 612140"/>
                          <a:gd name="connsiteX5" fmla="*/ 0 w 3527018"/>
                          <a:gd name="connsiteY5" fmla="*/ 0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27018" h="612140">
                            <a:moveTo>
                              <a:pt x="0" y="0"/>
                            </a:moveTo>
                            <a:lnTo>
                              <a:pt x="3220948" y="0"/>
                            </a:lnTo>
                            <a:cubicBezTo>
                              <a:pt x="3389986" y="0"/>
                              <a:pt x="3527018" y="137032"/>
                              <a:pt x="3527018" y="306070"/>
                            </a:cubicBezTo>
                            <a:cubicBezTo>
                              <a:pt x="3527018" y="475108"/>
                              <a:pt x="3389986" y="612140"/>
                              <a:pt x="3220948" y="612140"/>
                            </a:cubicBezTo>
                            <a:lnTo>
                              <a:pt x="0" y="612140"/>
                            </a:lnTo>
                            <a:lnTo>
                              <a:pt x="0" y="0"/>
                            </a:lnTo>
                            <a:close/>
                          </a:path>
                        </a:pathLst>
                      </a:custGeom>
                      <a:solidFill>
                        <a:srgbClr val="001D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7172" w:rsidRPr="003C6C8D" w:rsidRDefault="0073223E" w:rsidP="00074DD8">
                          <w:pPr>
                            <w:spacing w:before="0" w:after="0" w:line="240" w:lineRule="auto"/>
                            <w:ind w:left="227"/>
                            <w:jc w:val="both"/>
                            <w:rPr>
                              <w:rFonts w:ascii="Fira Sans SemiBold" w:hAnsi="Fira Sans SemiBold"/>
                            </w:rPr>
                          </w:pPr>
                          <w:r>
                            <w:rPr>
                              <w:rFonts w:ascii="Fira Sans SemiBold" w:hAnsi="Fira Sans SemiBold"/>
                            </w:rPr>
                            <w:t>NEWS RELEASES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80E9" id="Schemat blokowy: opóźnienie 6" o:spid="_x0000_s1033" style="position:absolute;margin-left:396.6pt;margin-top:15.65pt;width:162.25pt;height:2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7018,612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" adj="-11796480,,5400" path="m,l3220948,v169038,,306070,137032,306070,306070c3527018,475108,3389986,612140,3220948,612140l,612140,,xe" fillcolor="#001d77" stroked="f" strokeweight="1pt">
              <v:stroke joinstyle="miter"/>
              <v:formulas/>
              <v:path arrowok="t" o:connecttype="custom" o:connectlocs="0,0;1881761,0;2060575,178753;1881761,357505;0,357505;0,0" o:connectangles="0,0,0,0,0,0" textboxrect="0,0,3527018,612140"/>
              <v:textbox>
                <w:txbxContent>
                  <w:p w:rsidR="00F37172" w:rsidRPr="003C6C8D" w:rsidRDefault="0073223E" w:rsidP="00074DD8">
                    <w:pPr>
                      <w:spacing w:before="0" w:after="0" w:line="240" w:lineRule="auto"/>
                      <w:ind w:left="227"/>
                      <w:jc w:val="both"/>
                      <w:rPr>
                        <w:rFonts w:ascii="Fira Sans SemiBold" w:hAnsi="Fira Sans SemiBold"/>
                      </w:rPr>
                    </w:pPr>
                    <w:r>
                      <w:rPr>
                        <w:rFonts w:ascii="Fira Sans SemiBold" w:hAnsi="Fira Sans SemiBold"/>
                      </w:rPr>
                      <w:t>NEWS RELEASES</w:t>
                    </w:r>
                  </w:p>
                </w:txbxContent>
              </v:textbox>
            </v:shape>
          </w:pict>
        </mc:Fallback>
      </mc:AlternateContent>
    </w:r>
    <w:r w:rsidR="00C22105">
      <w:rPr>
        <w:noProof/>
        <w:lang w:eastAsia="pl-PL"/>
      </w:rPr>
      <mc:AlternateContent>
        <mc:Choice Requires="wps">
          <w:drawing>
            <wp:anchor distT="0" distB="0" distL="114300" distR="114300" simplePos="0" relativeHeight="251666432" behindDoc="1" locked="0" layoutInCell="1" allowOverlap="1" wp14:anchorId="222D3DA2" wp14:editId="3CA2341D">
              <wp:simplePos x="0" y="0"/>
              <wp:positionH relativeFrom="column">
                <wp:posOffset>5219065</wp:posOffset>
              </wp:positionH>
              <wp:positionV relativeFrom="paragraph">
                <wp:posOffset>511810</wp:posOffset>
              </wp:positionV>
              <wp:extent cx="1871980" cy="22905085"/>
              <wp:effectExtent l="0" t="0" r="0" b="0"/>
              <wp:wrapTight wrapText="bothSides">
                <wp:wrapPolygon edited="0">
                  <wp:start x="0" y="0"/>
                  <wp:lineTo x="0" y="21575"/>
                  <wp:lineTo x="21322" y="21575"/>
                  <wp:lineTo x="21322" y="0"/>
                  <wp:lineTo x="0" y="0"/>
                </wp:wrapPolygon>
              </wp:wrapTight>
              <wp:docPr id="10" name="Prostokąt 10"/>
              <wp:cNvGraphicFramePr/>
              <a:graphic xmlns:a="http://schemas.openxmlformats.org/drawingml/2006/main">
                <a:graphicData uri="http://schemas.microsoft.com/office/word/2010/wordprocessingShape">
                  <wps:wsp>
                    <wps:cNvSpPr/>
                    <wps:spPr>
                      <a:xfrm>
                        <a:off x="0" y="0"/>
                        <a:ext cx="1871980" cy="2290508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DAABA" id="Prostokąt 10" o:spid="_x0000_s1026" style="position:absolute;margin-left:410.95pt;margin-top:40.3pt;width:147.4pt;height:180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" fillcolor="#f2f2f2" stroked="f" strokeweight="1pt">
              <w10:wrap type="tight"/>
            </v:rect>
          </w:pict>
        </mc:Fallback>
      </mc:AlternateContent>
    </w:r>
  </w:p>
  <w:p w:rsidR="001C7430" w:rsidRDefault="001C7430">
    <w:pPr>
      <w:pStyle w:val="Nagwek"/>
      <w:rPr>
        <w:noProof/>
        <w:lang w:eastAsia="pl-PL"/>
      </w:rPr>
    </w:pPr>
  </w:p>
  <w:p w:rsidR="001C7430" w:rsidRDefault="001C7430">
    <w:pPr>
      <w:pStyle w:val="Nagwek"/>
      <w:rPr>
        <w:noProof/>
        <w:lang w:eastAsia="pl-PL"/>
      </w:rPr>
    </w:pPr>
  </w:p>
  <w:p w:rsidR="00F32749" w:rsidRDefault="00C7346B">
    <w:pPr>
      <w:pStyle w:val="Nagwek"/>
      <w:rPr>
        <w:noProof/>
        <w:lang w:eastAsia="pl-PL"/>
      </w:rPr>
    </w:pPr>
    <w:r w:rsidRPr="00F37172">
      <w:rPr>
        <w:noProof/>
        <w:lang w:eastAsia="pl-PL"/>
      </w:rPr>
      <mc:AlternateContent>
        <mc:Choice Requires="wps">
          <w:drawing>
            <wp:anchor distT="45720" distB="45720" distL="114300" distR="114300" simplePos="0" relativeHeight="251669504" behindDoc="0" locked="0" layoutInCell="1" allowOverlap="1" wp14:anchorId="10608F51" wp14:editId="6366C388">
              <wp:simplePos x="0" y="0"/>
              <wp:positionH relativeFrom="column">
                <wp:posOffset>5219700</wp:posOffset>
              </wp:positionH>
              <wp:positionV relativeFrom="paragraph">
                <wp:posOffset>266065</wp:posOffset>
              </wp:positionV>
              <wp:extent cx="1432293" cy="336589"/>
              <wp:effectExtent l="0" t="0" r="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293" cy="336589"/>
                      </a:xfrm>
                      <a:prstGeom prst="rect">
                        <a:avLst/>
                      </a:prstGeom>
                      <a:noFill/>
                      <a:ln w="9525">
                        <a:noFill/>
                        <a:miter lim="800000"/>
                        <a:headEnd/>
                        <a:tailEnd/>
                      </a:ln>
                    </wps:spPr>
                    <wps:txbx>
                      <w:txbxContent>
                        <w:p w:rsidR="00F37172" w:rsidRPr="00C97596" w:rsidRDefault="00810EEE" w:rsidP="00F37172">
                          <w:pPr>
                            <w:jc w:val="both"/>
                            <w:rPr>
                              <w:rFonts w:ascii="Fira Sans SemiBold" w:hAnsi="Fira Sans SemiBold"/>
                              <w:color w:val="001D77"/>
                            </w:rPr>
                          </w:pPr>
                          <w:r>
                            <w:rPr>
                              <w:rFonts w:ascii="Fira Sans SemiBold" w:hAnsi="Fira Sans SemiBold"/>
                              <w:color w:val="001D77"/>
                            </w:rPr>
                            <w:t>05</w:t>
                          </w:r>
                          <w:r w:rsidR="008947AC">
                            <w:rPr>
                              <w:rFonts w:ascii="Fira Sans SemiBold" w:hAnsi="Fira Sans SemiBold"/>
                              <w:color w:val="001D77"/>
                            </w:rPr>
                            <w:t>.</w:t>
                          </w:r>
                          <w:r>
                            <w:rPr>
                              <w:rFonts w:ascii="Fira Sans SemiBold" w:hAnsi="Fira Sans SemiBold"/>
                              <w:color w:val="001D77"/>
                            </w:rPr>
                            <w:t>10</w:t>
                          </w:r>
                          <w:r w:rsidR="00A810F9">
                            <w:rPr>
                              <w:rFonts w:ascii="Fira Sans SemiBold" w:hAnsi="Fira Sans SemiBold"/>
                              <w:color w:val="001D77"/>
                            </w:rPr>
                            <w:t>.</w:t>
                          </w:r>
                          <w:r w:rsidR="008947AC">
                            <w:rPr>
                              <w:rFonts w:ascii="Fira Sans SemiBold" w:hAnsi="Fira Sans SemiBold"/>
                              <w:color w:val="001D77"/>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08F51" id="_x0000_t202" coordsize="21600,21600" o:spt="202" path="m,l,21600r21600,l21600,xe">
              <v:stroke joinstyle="miter"/>
              <v:path gradientshapeok="t" o:connecttype="rect"/>
            </v:shapetype>
            <v:shape id="_x0000_s1034" type="#_x0000_t202" style="position:absolute;margin-left:411pt;margin-top:20.95pt;width:112.8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" filled="f" stroked="f">
              <v:textbox>
                <w:txbxContent>
                  <w:p w:rsidR="00F37172" w:rsidRPr="00C97596" w:rsidRDefault="00810EEE" w:rsidP="00F37172">
                    <w:pPr>
                      <w:jc w:val="both"/>
                      <w:rPr>
                        <w:rFonts w:ascii="Fira Sans SemiBold" w:hAnsi="Fira Sans SemiBold"/>
                        <w:color w:val="001D77"/>
                      </w:rPr>
                    </w:pPr>
                    <w:r>
                      <w:rPr>
                        <w:rFonts w:ascii="Fira Sans SemiBold" w:hAnsi="Fira Sans SemiBold"/>
                        <w:color w:val="001D77"/>
                      </w:rPr>
                      <w:t>05</w:t>
                    </w:r>
                    <w:r w:rsidR="008947AC">
                      <w:rPr>
                        <w:rFonts w:ascii="Fira Sans SemiBold" w:hAnsi="Fira Sans SemiBold"/>
                        <w:color w:val="001D77"/>
                      </w:rPr>
                      <w:t>.</w:t>
                    </w:r>
                    <w:r>
                      <w:rPr>
                        <w:rFonts w:ascii="Fira Sans SemiBold" w:hAnsi="Fira Sans SemiBold"/>
                        <w:color w:val="001D77"/>
                      </w:rPr>
                      <w:t>10</w:t>
                    </w:r>
                    <w:r w:rsidR="00A810F9">
                      <w:rPr>
                        <w:rFonts w:ascii="Fira Sans SemiBold" w:hAnsi="Fira Sans SemiBold"/>
                        <w:color w:val="001D77"/>
                      </w:rPr>
                      <w:t>.</w:t>
                    </w:r>
                    <w:r w:rsidR="008947AC">
                      <w:rPr>
                        <w:rFonts w:ascii="Fira Sans SemiBold" w:hAnsi="Fira Sans SemiBold"/>
                        <w:color w:val="001D77"/>
                      </w:rPr>
                      <w:t>2020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CC5" w:rsidRDefault="00607CC5">
    <w:pPr>
      <w:pStyle w:val="Nagwek"/>
    </w:pPr>
  </w:p>
  <w:p w:rsidR="00607CC5" w:rsidRDefault="00607C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95pt;height:124.6pt;visibility:visible;mso-wrap-style:square" o:bullet="t">
        <v:imagedata r:id="rId1" o:title=""/>
      </v:shape>
    </w:pict>
  </w:numPicBullet>
  <w:numPicBullet w:numPicBulletId="1">
    <w:pict>
      <v:shape id="_x0000_i1027" type="#_x0000_t75" style="width:123.95pt;height:124.6pt;visibility:visible;mso-wrap-style:square" o:bullet="t">
        <v:imagedata r:id="rId2" o:title=""/>
      </v:shape>
    </w:pict>
  </w:numPicBullet>
  <w:abstractNum w:abstractNumId="0" w15:restartNumberingAfterBreak="0">
    <w:nsid w:val="10497FAF"/>
    <w:multiLevelType w:val="hybridMultilevel"/>
    <w:tmpl w:val="7BEC98E0"/>
    <w:lvl w:ilvl="0" w:tplc="74F2CACE">
      <w:start w:val="1"/>
      <w:numFmt w:val="bullet"/>
      <w:lvlText w:val=""/>
      <w:lvlPicBulletId w:val="1"/>
      <w:lvlJc w:val="left"/>
      <w:pPr>
        <w:tabs>
          <w:tab w:val="num" w:pos="720"/>
        </w:tabs>
        <w:ind w:left="720" w:hanging="360"/>
      </w:pPr>
      <w:rPr>
        <w:rFonts w:ascii="Symbol" w:hAnsi="Symbol" w:hint="default"/>
      </w:rPr>
    </w:lvl>
    <w:lvl w:ilvl="1" w:tplc="D048EDFC" w:tentative="1">
      <w:start w:val="1"/>
      <w:numFmt w:val="bullet"/>
      <w:lvlText w:val=""/>
      <w:lvlJc w:val="left"/>
      <w:pPr>
        <w:tabs>
          <w:tab w:val="num" w:pos="1440"/>
        </w:tabs>
        <w:ind w:left="1440" w:hanging="360"/>
      </w:pPr>
      <w:rPr>
        <w:rFonts w:ascii="Symbol" w:hAnsi="Symbol" w:hint="default"/>
      </w:rPr>
    </w:lvl>
    <w:lvl w:ilvl="2" w:tplc="7DD0127E" w:tentative="1">
      <w:start w:val="1"/>
      <w:numFmt w:val="bullet"/>
      <w:lvlText w:val=""/>
      <w:lvlJc w:val="left"/>
      <w:pPr>
        <w:tabs>
          <w:tab w:val="num" w:pos="2160"/>
        </w:tabs>
        <w:ind w:left="2160" w:hanging="360"/>
      </w:pPr>
      <w:rPr>
        <w:rFonts w:ascii="Symbol" w:hAnsi="Symbol" w:hint="default"/>
      </w:rPr>
    </w:lvl>
    <w:lvl w:ilvl="3" w:tplc="D35642B2" w:tentative="1">
      <w:start w:val="1"/>
      <w:numFmt w:val="bullet"/>
      <w:lvlText w:val=""/>
      <w:lvlJc w:val="left"/>
      <w:pPr>
        <w:tabs>
          <w:tab w:val="num" w:pos="2880"/>
        </w:tabs>
        <w:ind w:left="2880" w:hanging="360"/>
      </w:pPr>
      <w:rPr>
        <w:rFonts w:ascii="Symbol" w:hAnsi="Symbol" w:hint="default"/>
      </w:rPr>
    </w:lvl>
    <w:lvl w:ilvl="4" w:tplc="2BB8832A" w:tentative="1">
      <w:start w:val="1"/>
      <w:numFmt w:val="bullet"/>
      <w:lvlText w:val=""/>
      <w:lvlJc w:val="left"/>
      <w:pPr>
        <w:tabs>
          <w:tab w:val="num" w:pos="3600"/>
        </w:tabs>
        <w:ind w:left="3600" w:hanging="360"/>
      </w:pPr>
      <w:rPr>
        <w:rFonts w:ascii="Symbol" w:hAnsi="Symbol" w:hint="default"/>
      </w:rPr>
    </w:lvl>
    <w:lvl w:ilvl="5" w:tplc="88E2D952" w:tentative="1">
      <w:start w:val="1"/>
      <w:numFmt w:val="bullet"/>
      <w:lvlText w:val=""/>
      <w:lvlJc w:val="left"/>
      <w:pPr>
        <w:tabs>
          <w:tab w:val="num" w:pos="4320"/>
        </w:tabs>
        <w:ind w:left="4320" w:hanging="360"/>
      </w:pPr>
      <w:rPr>
        <w:rFonts w:ascii="Symbol" w:hAnsi="Symbol" w:hint="default"/>
      </w:rPr>
    </w:lvl>
    <w:lvl w:ilvl="6" w:tplc="ABC63C1E" w:tentative="1">
      <w:start w:val="1"/>
      <w:numFmt w:val="bullet"/>
      <w:lvlText w:val=""/>
      <w:lvlJc w:val="left"/>
      <w:pPr>
        <w:tabs>
          <w:tab w:val="num" w:pos="5040"/>
        </w:tabs>
        <w:ind w:left="5040" w:hanging="360"/>
      </w:pPr>
      <w:rPr>
        <w:rFonts w:ascii="Symbol" w:hAnsi="Symbol" w:hint="default"/>
      </w:rPr>
    </w:lvl>
    <w:lvl w:ilvl="7" w:tplc="9CFABB2E" w:tentative="1">
      <w:start w:val="1"/>
      <w:numFmt w:val="bullet"/>
      <w:lvlText w:val=""/>
      <w:lvlJc w:val="left"/>
      <w:pPr>
        <w:tabs>
          <w:tab w:val="num" w:pos="5760"/>
        </w:tabs>
        <w:ind w:left="5760" w:hanging="360"/>
      </w:pPr>
      <w:rPr>
        <w:rFonts w:ascii="Symbol" w:hAnsi="Symbol" w:hint="default"/>
      </w:rPr>
    </w:lvl>
    <w:lvl w:ilvl="8" w:tplc="68CCFA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3A230B"/>
    <w:multiLevelType w:val="hybridMultilevel"/>
    <w:tmpl w:val="125A64C4"/>
    <w:lvl w:ilvl="0" w:tplc="340AEF3C">
      <w:start w:val="1"/>
      <w:numFmt w:val="bullet"/>
      <w:lvlText w:val=""/>
      <w:lvlPicBulletId w:val="0"/>
      <w:lvlJc w:val="left"/>
      <w:pPr>
        <w:tabs>
          <w:tab w:val="num" w:pos="720"/>
        </w:tabs>
        <w:ind w:left="720" w:hanging="360"/>
      </w:pPr>
      <w:rPr>
        <w:rFonts w:ascii="Symbol" w:hAnsi="Symbol" w:hint="default"/>
      </w:rPr>
    </w:lvl>
    <w:lvl w:ilvl="1" w:tplc="6C06B20C" w:tentative="1">
      <w:start w:val="1"/>
      <w:numFmt w:val="bullet"/>
      <w:lvlText w:val=""/>
      <w:lvlJc w:val="left"/>
      <w:pPr>
        <w:tabs>
          <w:tab w:val="num" w:pos="1440"/>
        </w:tabs>
        <w:ind w:left="1440" w:hanging="360"/>
      </w:pPr>
      <w:rPr>
        <w:rFonts w:ascii="Symbol" w:hAnsi="Symbol" w:hint="default"/>
      </w:rPr>
    </w:lvl>
    <w:lvl w:ilvl="2" w:tplc="242AE0D4" w:tentative="1">
      <w:start w:val="1"/>
      <w:numFmt w:val="bullet"/>
      <w:lvlText w:val=""/>
      <w:lvlJc w:val="left"/>
      <w:pPr>
        <w:tabs>
          <w:tab w:val="num" w:pos="2160"/>
        </w:tabs>
        <w:ind w:left="2160" w:hanging="360"/>
      </w:pPr>
      <w:rPr>
        <w:rFonts w:ascii="Symbol" w:hAnsi="Symbol" w:hint="default"/>
      </w:rPr>
    </w:lvl>
    <w:lvl w:ilvl="3" w:tplc="D514F69A" w:tentative="1">
      <w:start w:val="1"/>
      <w:numFmt w:val="bullet"/>
      <w:lvlText w:val=""/>
      <w:lvlJc w:val="left"/>
      <w:pPr>
        <w:tabs>
          <w:tab w:val="num" w:pos="2880"/>
        </w:tabs>
        <w:ind w:left="2880" w:hanging="360"/>
      </w:pPr>
      <w:rPr>
        <w:rFonts w:ascii="Symbol" w:hAnsi="Symbol" w:hint="default"/>
      </w:rPr>
    </w:lvl>
    <w:lvl w:ilvl="4" w:tplc="F968D82E" w:tentative="1">
      <w:start w:val="1"/>
      <w:numFmt w:val="bullet"/>
      <w:lvlText w:val=""/>
      <w:lvlJc w:val="left"/>
      <w:pPr>
        <w:tabs>
          <w:tab w:val="num" w:pos="3600"/>
        </w:tabs>
        <w:ind w:left="3600" w:hanging="360"/>
      </w:pPr>
      <w:rPr>
        <w:rFonts w:ascii="Symbol" w:hAnsi="Symbol" w:hint="default"/>
      </w:rPr>
    </w:lvl>
    <w:lvl w:ilvl="5" w:tplc="F80C7752" w:tentative="1">
      <w:start w:val="1"/>
      <w:numFmt w:val="bullet"/>
      <w:lvlText w:val=""/>
      <w:lvlJc w:val="left"/>
      <w:pPr>
        <w:tabs>
          <w:tab w:val="num" w:pos="4320"/>
        </w:tabs>
        <w:ind w:left="4320" w:hanging="360"/>
      </w:pPr>
      <w:rPr>
        <w:rFonts w:ascii="Symbol" w:hAnsi="Symbol" w:hint="default"/>
      </w:rPr>
    </w:lvl>
    <w:lvl w:ilvl="6" w:tplc="0D827006" w:tentative="1">
      <w:start w:val="1"/>
      <w:numFmt w:val="bullet"/>
      <w:lvlText w:val=""/>
      <w:lvlJc w:val="left"/>
      <w:pPr>
        <w:tabs>
          <w:tab w:val="num" w:pos="5040"/>
        </w:tabs>
        <w:ind w:left="5040" w:hanging="360"/>
      </w:pPr>
      <w:rPr>
        <w:rFonts w:ascii="Symbol" w:hAnsi="Symbol" w:hint="default"/>
      </w:rPr>
    </w:lvl>
    <w:lvl w:ilvl="7" w:tplc="1F7430E0" w:tentative="1">
      <w:start w:val="1"/>
      <w:numFmt w:val="bullet"/>
      <w:lvlText w:val=""/>
      <w:lvlJc w:val="left"/>
      <w:pPr>
        <w:tabs>
          <w:tab w:val="num" w:pos="5760"/>
        </w:tabs>
        <w:ind w:left="5760" w:hanging="360"/>
      </w:pPr>
      <w:rPr>
        <w:rFonts w:ascii="Symbol" w:hAnsi="Symbol" w:hint="default"/>
      </w:rPr>
    </w:lvl>
    <w:lvl w:ilvl="8" w:tplc="5D18BEB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87"/>
    <w:rsid w:val="00001C5B"/>
    <w:rsid w:val="00003437"/>
    <w:rsid w:val="0000709F"/>
    <w:rsid w:val="000108B8"/>
    <w:rsid w:val="000152F5"/>
    <w:rsid w:val="0002144B"/>
    <w:rsid w:val="00026154"/>
    <w:rsid w:val="0004582E"/>
    <w:rsid w:val="000470AA"/>
    <w:rsid w:val="00057CA1"/>
    <w:rsid w:val="000662E2"/>
    <w:rsid w:val="00066883"/>
    <w:rsid w:val="000670DE"/>
    <w:rsid w:val="00074DD8"/>
    <w:rsid w:val="000806F7"/>
    <w:rsid w:val="00093C74"/>
    <w:rsid w:val="000B0727"/>
    <w:rsid w:val="000C0DD6"/>
    <w:rsid w:val="000C135D"/>
    <w:rsid w:val="000D1D43"/>
    <w:rsid w:val="000D1EAB"/>
    <w:rsid w:val="000D225C"/>
    <w:rsid w:val="000D2A5C"/>
    <w:rsid w:val="000E0918"/>
    <w:rsid w:val="000F367C"/>
    <w:rsid w:val="000F7DF0"/>
    <w:rsid w:val="001011C3"/>
    <w:rsid w:val="00110D87"/>
    <w:rsid w:val="00114DB9"/>
    <w:rsid w:val="00116087"/>
    <w:rsid w:val="00130296"/>
    <w:rsid w:val="001423B6"/>
    <w:rsid w:val="001448A7"/>
    <w:rsid w:val="00146621"/>
    <w:rsid w:val="00162325"/>
    <w:rsid w:val="001951DA"/>
    <w:rsid w:val="001952C4"/>
    <w:rsid w:val="001C3269"/>
    <w:rsid w:val="001C7430"/>
    <w:rsid w:val="001D1DB4"/>
    <w:rsid w:val="001D2736"/>
    <w:rsid w:val="00223CE0"/>
    <w:rsid w:val="0025563A"/>
    <w:rsid w:val="002574F9"/>
    <w:rsid w:val="00262B61"/>
    <w:rsid w:val="0026673C"/>
    <w:rsid w:val="00276811"/>
    <w:rsid w:val="00282699"/>
    <w:rsid w:val="00283996"/>
    <w:rsid w:val="002926DF"/>
    <w:rsid w:val="00296697"/>
    <w:rsid w:val="002A6113"/>
    <w:rsid w:val="002B0472"/>
    <w:rsid w:val="002B6B12"/>
    <w:rsid w:val="002D5D08"/>
    <w:rsid w:val="002E6140"/>
    <w:rsid w:val="002E6985"/>
    <w:rsid w:val="002E71B6"/>
    <w:rsid w:val="002F77C8"/>
    <w:rsid w:val="00304F22"/>
    <w:rsid w:val="00306C7C"/>
    <w:rsid w:val="00322EDD"/>
    <w:rsid w:val="00331527"/>
    <w:rsid w:val="00332320"/>
    <w:rsid w:val="00347D72"/>
    <w:rsid w:val="003504C7"/>
    <w:rsid w:val="00357611"/>
    <w:rsid w:val="00367237"/>
    <w:rsid w:val="0037077F"/>
    <w:rsid w:val="00372411"/>
    <w:rsid w:val="00373882"/>
    <w:rsid w:val="003843DB"/>
    <w:rsid w:val="00391300"/>
    <w:rsid w:val="00393761"/>
    <w:rsid w:val="00397D18"/>
    <w:rsid w:val="003A1B36"/>
    <w:rsid w:val="003A2056"/>
    <w:rsid w:val="003B1454"/>
    <w:rsid w:val="003B18B6"/>
    <w:rsid w:val="003B54EB"/>
    <w:rsid w:val="003C59E0"/>
    <w:rsid w:val="003C6C8D"/>
    <w:rsid w:val="003D4F95"/>
    <w:rsid w:val="003D5F42"/>
    <w:rsid w:val="003D60A9"/>
    <w:rsid w:val="003F4C97"/>
    <w:rsid w:val="003F7A34"/>
    <w:rsid w:val="003F7FE6"/>
    <w:rsid w:val="00400193"/>
    <w:rsid w:val="004212E7"/>
    <w:rsid w:val="0042446D"/>
    <w:rsid w:val="00427BF8"/>
    <w:rsid w:val="00431C02"/>
    <w:rsid w:val="00437395"/>
    <w:rsid w:val="00445047"/>
    <w:rsid w:val="00463E39"/>
    <w:rsid w:val="004657FC"/>
    <w:rsid w:val="004733F6"/>
    <w:rsid w:val="00474E69"/>
    <w:rsid w:val="0049621B"/>
    <w:rsid w:val="004C1895"/>
    <w:rsid w:val="004C4532"/>
    <w:rsid w:val="004C6D40"/>
    <w:rsid w:val="004F0C3C"/>
    <w:rsid w:val="004F63FC"/>
    <w:rsid w:val="00505A92"/>
    <w:rsid w:val="0050635C"/>
    <w:rsid w:val="005203F1"/>
    <w:rsid w:val="00521BC3"/>
    <w:rsid w:val="00533632"/>
    <w:rsid w:val="00541E6E"/>
    <w:rsid w:val="0054251F"/>
    <w:rsid w:val="00544EAC"/>
    <w:rsid w:val="005520D8"/>
    <w:rsid w:val="00556CF1"/>
    <w:rsid w:val="00562037"/>
    <w:rsid w:val="005762A7"/>
    <w:rsid w:val="0059153C"/>
    <w:rsid w:val="005916D7"/>
    <w:rsid w:val="005A698C"/>
    <w:rsid w:val="005E0799"/>
    <w:rsid w:val="005F5A80"/>
    <w:rsid w:val="006044FF"/>
    <w:rsid w:val="00607CC5"/>
    <w:rsid w:val="00633014"/>
    <w:rsid w:val="0063437B"/>
    <w:rsid w:val="00663999"/>
    <w:rsid w:val="006673CA"/>
    <w:rsid w:val="00673C26"/>
    <w:rsid w:val="006812AF"/>
    <w:rsid w:val="0068327D"/>
    <w:rsid w:val="00694AF0"/>
    <w:rsid w:val="006A1741"/>
    <w:rsid w:val="006A4686"/>
    <w:rsid w:val="006B0E9E"/>
    <w:rsid w:val="006B5AE4"/>
    <w:rsid w:val="006C2208"/>
    <w:rsid w:val="006D1507"/>
    <w:rsid w:val="006D4054"/>
    <w:rsid w:val="006E02EC"/>
    <w:rsid w:val="006F6739"/>
    <w:rsid w:val="007211B1"/>
    <w:rsid w:val="0073223E"/>
    <w:rsid w:val="00746187"/>
    <w:rsid w:val="0076254F"/>
    <w:rsid w:val="00770EF8"/>
    <w:rsid w:val="007801F5"/>
    <w:rsid w:val="00783CA4"/>
    <w:rsid w:val="007842FB"/>
    <w:rsid w:val="00786124"/>
    <w:rsid w:val="0079514B"/>
    <w:rsid w:val="007A2DC1"/>
    <w:rsid w:val="007D3319"/>
    <w:rsid w:val="007D335D"/>
    <w:rsid w:val="007E3314"/>
    <w:rsid w:val="007E4B03"/>
    <w:rsid w:val="007F120A"/>
    <w:rsid w:val="007F324B"/>
    <w:rsid w:val="0080553C"/>
    <w:rsid w:val="00805B46"/>
    <w:rsid w:val="00810EEE"/>
    <w:rsid w:val="00825DC2"/>
    <w:rsid w:val="00834AD3"/>
    <w:rsid w:val="00843795"/>
    <w:rsid w:val="00847F0F"/>
    <w:rsid w:val="00852448"/>
    <w:rsid w:val="0088258A"/>
    <w:rsid w:val="00886332"/>
    <w:rsid w:val="008947AC"/>
    <w:rsid w:val="008A26D9"/>
    <w:rsid w:val="008B001E"/>
    <w:rsid w:val="008B4384"/>
    <w:rsid w:val="008C0C29"/>
    <w:rsid w:val="008F3638"/>
    <w:rsid w:val="008F4441"/>
    <w:rsid w:val="008F6F31"/>
    <w:rsid w:val="008F74DF"/>
    <w:rsid w:val="009127BA"/>
    <w:rsid w:val="00915AA6"/>
    <w:rsid w:val="009227A6"/>
    <w:rsid w:val="00933EC1"/>
    <w:rsid w:val="009530DB"/>
    <w:rsid w:val="00953676"/>
    <w:rsid w:val="0095512A"/>
    <w:rsid w:val="009705EE"/>
    <w:rsid w:val="0097636B"/>
    <w:rsid w:val="00977927"/>
    <w:rsid w:val="0098135C"/>
    <w:rsid w:val="0098156A"/>
    <w:rsid w:val="00985CF5"/>
    <w:rsid w:val="00991BAC"/>
    <w:rsid w:val="009A5961"/>
    <w:rsid w:val="009A6EA0"/>
    <w:rsid w:val="009C1335"/>
    <w:rsid w:val="009C1AB2"/>
    <w:rsid w:val="009C7251"/>
    <w:rsid w:val="009E2E91"/>
    <w:rsid w:val="00A07C86"/>
    <w:rsid w:val="00A139F5"/>
    <w:rsid w:val="00A24587"/>
    <w:rsid w:val="00A267EF"/>
    <w:rsid w:val="00A365F4"/>
    <w:rsid w:val="00A47D80"/>
    <w:rsid w:val="00A53132"/>
    <w:rsid w:val="00A563F2"/>
    <w:rsid w:val="00A566E8"/>
    <w:rsid w:val="00A74C4E"/>
    <w:rsid w:val="00A810F9"/>
    <w:rsid w:val="00A86ECC"/>
    <w:rsid w:val="00A86FCC"/>
    <w:rsid w:val="00AA710D"/>
    <w:rsid w:val="00AB0CBA"/>
    <w:rsid w:val="00AB5DFF"/>
    <w:rsid w:val="00AB6D25"/>
    <w:rsid w:val="00AC3FCE"/>
    <w:rsid w:val="00AE2D4B"/>
    <w:rsid w:val="00AE4F99"/>
    <w:rsid w:val="00B12859"/>
    <w:rsid w:val="00B1321E"/>
    <w:rsid w:val="00B14952"/>
    <w:rsid w:val="00B31E5A"/>
    <w:rsid w:val="00B653AB"/>
    <w:rsid w:val="00B65F9E"/>
    <w:rsid w:val="00B66B19"/>
    <w:rsid w:val="00B914E9"/>
    <w:rsid w:val="00B956EE"/>
    <w:rsid w:val="00BA2BA1"/>
    <w:rsid w:val="00BB4F09"/>
    <w:rsid w:val="00BC39B4"/>
    <w:rsid w:val="00BD4E33"/>
    <w:rsid w:val="00BE13B8"/>
    <w:rsid w:val="00C030DE"/>
    <w:rsid w:val="00C22105"/>
    <w:rsid w:val="00C244B6"/>
    <w:rsid w:val="00C3702F"/>
    <w:rsid w:val="00C472C8"/>
    <w:rsid w:val="00C54D6D"/>
    <w:rsid w:val="00C64A37"/>
    <w:rsid w:val="00C674E0"/>
    <w:rsid w:val="00C7158E"/>
    <w:rsid w:val="00C7250B"/>
    <w:rsid w:val="00C7346B"/>
    <w:rsid w:val="00C77C0E"/>
    <w:rsid w:val="00C91687"/>
    <w:rsid w:val="00C9209D"/>
    <w:rsid w:val="00C924A8"/>
    <w:rsid w:val="00C945FE"/>
    <w:rsid w:val="00C96FAA"/>
    <w:rsid w:val="00C97A04"/>
    <w:rsid w:val="00CA107B"/>
    <w:rsid w:val="00CA484D"/>
    <w:rsid w:val="00CA4FB6"/>
    <w:rsid w:val="00CB41A7"/>
    <w:rsid w:val="00CC739E"/>
    <w:rsid w:val="00CD58B7"/>
    <w:rsid w:val="00CE1464"/>
    <w:rsid w:val="00CF4099"/>
    <w:rsid w:val="00D00796"/>
    <w:rsid w:val="00D261A2"/>
    <w:rsid w:val="00D30555"/>
    <w:rsid w:val="00D616D2"/>
    <w:rsid w:val="00D63B5F"/>
    <w:rsid w:val="00D64203"/>
    <w:rsid w:val="00D70EF7"/>
    <w:rsid w:val="00D8397C"/>
    <w:rsid w:val="00D839AB"/>
    <w:rsid w:val="00D94EED"/>
    <w:rsid w:val="00D96026"/>
    <w:rsid w:val="00DA7C1C"/>
    <w:rsid w:val="00DB147A"/>
    <w:rsid w:val="00DB1B7A"/>
    <w:rsid w:val="00DC6708"/>
    <w:rsid w:val="00E01436"/>
    <w:rsid w:val="00E045BD"/>
    <w:rsid w:val="00E178DA"/>
    <w:rsid w:val="00E17B77"/>
    <w:rsid w:val="00E23337"/>
    <w:rsid w:val="00E259EA"/>
    <w:rsid w:val="00E31ACC"/>
    <w:rsid w:val="00E32061"/>
    <w:rsid w:val="00E42FF9"/>
    <w:rsid w:val="00E4714C"/>
    <w:rsid w:val="00E51AEB"/>
    <w:rsid w:val="00E522A7"/>
    <w:rsid w:val="00E54452"/>
    <w:rsid w:val="00E664C5"/>
    <w:rsid w:val="00E671A2"/>
    <w:rsid w:val="00E76D26"/>
    <w:rsid w:val="00E84408"/>
    <w:rsid w:val="00EB1390"/>
    <w:rsid w:val="00EB2C71"/>
    <w:rsid w:val="00EB4340"/>
    <w:rsid w:val="00EB556D"/>
    <w:rsid w:val="00EB5A7D"/>
    <w:rsid w:val="00ED55C0"/>
    <w:rsid w:val="00ED682B"/>
    <w:rsid w:val="00EE41D5"/>
    <w:rsid w:val="00F037A4"/>
    <w:rsid w:val="00F06B26"/>
    <w:rsid w:val="00F27C8F"/>
    <w:rsid w:val="00F32749"/>
    <w:rsid w:val="00F37172"/>
    <w:rsid w:val="00F418D1"/>
    <w:rsid w:val="00F4477E"/>
    <w:rsid w:val="00F670E8"/>
    <w:rsid w:val="00F67D8F"/>
    <w:rsid w:val="00F802BE"/>
    <w:rsid w:val="00F86024"/>
    <w:rsid w:val="00F8611A"/>
    <w:rsid w:val="00FA4729"/>
    <w:rsid w:val="00FA5128"/>
    <w:rsid w:val="00FB42D4"/>
    <w:rsid w:val="00FB5906"/>
    <w:rsid w:val="00FB762F"/>
    <w:rsid w:val="00FC06F8"/>
    <w:rsid w:val="00FC2AED"/>
    <w:rsid w:val="00FD5EA7"/>
    <w:rsid w:val="00FD670D"/>
    <w:rsid w:val="00FF5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C9AAA-BD9E-4889-8D2C-517DF6FA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informacji"/>
    <w:qFormat/>
    <w:rsid w:val="00074DD8"/>
    <w:pPr>
      <w:spacing w:before="120" w:after="120" w:line="240" w:lineRule="exact"/>
    </w:pPr>
    <w:rPr>
      <w:rFonts w:ascii="Fira Sans" w:hAnsi="Fira Sans"/>
      <w:sz w:val="19"/>
    </w:rPr>
  </w:style>
  <w:style w:type="paragraph" w:styleId="Nagwek1">
    <w:name w:val="heading 1"/>
    <w:aliases w:val="tytuł podrozdziału"/>
    <w:basedOn w:val="Normalny"/>
    <w:next w:val="Normalny"/>
    <w:link w:val="Nagwek1Znak"/>
    <w:qFormat/>
    <w:rsid w:val="00633014"/>
    <w:pPr>
      <w:keepNext/>
      <w:spacing w:before="240" w:line="240" w:lineRule="auto"/>
      <w:outlineLvl w:val="0"/>
    </w:pPr>
    <w:rPr>
      <w:rFonts w:ascii="Fira Sans SemiBold" w:eastAsia="Times New Roman" w:hAnsi="Fira Sans SemiBold" w:cs="Times New Roman"/>
      <w:bCs/>
      <w:color w:val="001D77"/>
      <w:szCs w:val="24"/>
      <w:lang w:eastAsia="pl-PL"/>
    </w:rPr>
  </w:style>
  <w:style w:type="paragraph" w:styleId="Nagwek2">
    <w:name w:val="heading 2"/>
    <w:basedOn w:val="Normalny"/>
    <w:next w:val="Normalny"/>
    <w:link w:val="Nagwek2Znak"/>
    <w:uiPriority w:val="9"/>
    <w:unhideWhenUsed/>
    <w:rsid w:val="007A2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rsid w:val="007A2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rsid w:val="004373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A2DC1"/>
    <w:pPr>
      <w:keepNext/>
      <w:keepLines/>
      <w:spacing w:before="40" w:after="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unhideWhenUsed/>
    <w:qFormat/>
    <w:rsid w:val="007A2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A2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podrozdziału Znak"/>
    <w:basedOn w:val="Domylnaczcionkaakapitu"/>
    <w:link w:val="Nagwek1"/>
    <w:rsid w:val="00633014"/>
    <w:rPr>
      <w:rFonts w:ascii="Fira Sans SemiBold" w:eastAsia="Times New Roman" w:hAnsi="Fira Sans SemiBold" w:cs="Times New Roman"/>
      <w:bCs/>
      <w:color w:val="001D77"/>
      <w:sz w:val="19"/>
      <w:szCs w:val="24"/>
      <w:lang w:eastAsia="pl-PL"/>
    </w:rPr>
  </w:style>
  <w:style w:type="paragraph" w:customStyle="1" w:styleId="LID">
    <w:name w:val="LID"/>
    <w:basedOn w:val="Normalny"/>
    <w:qFormat/>
    <w:rsid w:val="00633014"/>
    <w:rPr>
      <w:b/>
      <w:noProof/>
      <w:szCs w:val="19"/>
      <w:lang w:eastAsia="pl-PL"/>
    </w:rPr>
  </w:style>
  <w:style w:type="character" w:customStyle="1" w:styleId="Nagwek2Znak">
    <w:name w:val="Nagłówek 2 Znak"/>
    <w:basedOn w:val="Domylnaczcionkaakapitu"/>
    <w:link w:val="Nagwek2"/>
    <w:uiPriority w:val="9"/>
    <w:rsid w:val="007A2DC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2DC1"/>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7A2DC1"/>
    <w:rPr>
      <w:rFonts w:asciiTheme="majorHAnsi" w:eastAsiaTheme="majorEastAsia" w:hAnsiTheme="majorHAnsi" w:cstheme="majorBidi"/>
      <w:color w:val="2E74B5" w:themeColor="accent1" w:themeShade="BF"/>
    </w:rPr>
  </w:style>
  <w:style w:type="character" w:customStyle="1" w:styleId="Nagwek8Znak">
    <w:name w:val="Nagłówek 8 Znak"/>
    <w:basedOn w:val="Domylnaczcionkaakapitu"/>
    <w:link w:val="Nagwek8"/>
    <w:uiPriority w:val="9"/>
    <w:rsid w:val="007A2DC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A2DC1"/>
    <w:rPr>
      <w:rFonts w:asciiTheme="majorHAnsi" w:eastAsiaTheme="majorEastAsia" w:hAnsiTheme="majorHAnsi" w:cstheme="majorBidi"/>
      <w:i/>
      <w:iCs/>
      <w:color w:val="272727" w:themeColor="text1" w:themeTint="D8"/>
      <w:sz w:val="21"/>
      <w:szCs w:val="21"/>
    </w:rPr>
  </w:style>
  <w:style w:type="table" w:styleId="Tabelasiatki1jasnaakcent1">
    <w:name w:val="Grid Table 1 Light Accent 1"/>
    <w:basedOn w:val="Standardowy"/>
    <w:uiPriority w:val="46"/>
    <w:rsid w:val="007A2DC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A2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semiHidden/>
    <w:rsid w:val="008F3638"/>
    <w:rPr>
      <w:rFonts w:cs="Times New Roman"/>
      <w:color w:val="0000FF"/>
      <w:u w:val="single"/>
    </w:rPr>
  </w:style>
  <w:style w:type="paragraph" w:styleId="Tekstdymka">
    <w:name w:val="Balloon Text"/>
    <w:basedOn w:val="Normalny"/>
    <w:link w:val="TekstdymkaZnak"/>
    <w:uiPriority w:val="99"/>
    <w:semiHidden/>
    <w:unhideWhenUsed/>
    <w:rsid w:val="007F32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24B"/>
    <w:rPr>
      <w:rFonts w:ascii="Segoe UI" w:hAnsi="Segoe UI" w:cs="Segoe UI"/>
      <w:sz w:val="18"/>
      <w:szCs w:val="18"/>
    </w:rPr>
  </w:style>
  <w:style w:type="table" w:styleId="Tabela-Siatka">
    <w:name w:val="Table Grid"/>
    <w:basedOn w:val="Standardowy"/>
    <w:uiPriority w:val="39"/>
    <w:rsid w:val="009C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7395"/>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5203F1"/>
    <w:rPr>
      <w:b/>
      <w:bCs/>
    </w:rPr>
  </w:style>
  <w:style w:type="paragraph" w:styleId="Nagwek">
    <w:name w:val="header"/>
    <w:basedOn w:val="Normalny"/>
    <w:link w:val="NagwekZnak"/>
    <w:uiPriority w:val="99"/>
    <w:unhideWhenUsed/>
    <w:rsid w:val="00066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2E2"/>
  </w:style>
  <w:style w:type="paragraph" w:styleId="Stopka">
    <w:name w:val="footer"/>
    <w:basedOn w:val="Normalny"/>
    <w:link w:val="StopkaZnak"/>
    <w:uiPriority w:val="99"/>
    <w:unhideWhenUsed/>
    <w:rsid w:val="00066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2E2"/>
  </w:style>
  <w:style w:type="paragraph" w:styleId="Akapitzlist">
    <w:name w:val="List Paragraph"/>
    <w:basedOn w:val="Normalny"/>
    <w:uiPriority w:val="34"/>
    <w:qFormat/>
    <w:rsid w:val="00933EC1"/>
    <w:pPr>
      <w:ind w:left="720"/>
      <w:contextualSpacing/>
    </w:pPr>
  </w:style>
  <w:style w:type="paragraph" w:styleId="Tekstprzypisudolnego">
    <w:name w:val="footnote text"/>
    <w:basedOn w:val="Normalny"/>
    <w:link w:val="TekstprzypisudolnegoZnak"/>
    <w:uiPriority w:val="99"/>
    <w:semiHidden/>
    <w:unhideWhenUsed/>
    <w:rsid w:val="001448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8A7"/>
    <w:rPr>
      <w:sz w:val="20"/>
      <w:szCs w:val="20"/>
    </w:rPr>
  </w:style>
  <w:style w:type="character" w:styleId="Odwoanieprzypisudolnego">
    <w:name w:val="footnote reference"/>
    <w:basedOn w:val="Domylnaczcionkaakapitu"/>
    <w:uiPriority w:val="99"/>
    <w:semiHidden/>
    <w:unhideWhenUsed/>
    <w:rsid w:val="001448A7"/>
    <w:rPr>
      <w:vertAlign w:val="superscript"/>
    </w:rPr>
  </w:style>
  <w:style w:type="paragraph" w:customStyle="1" w:styleId="tytuinformacji">
    <w:name w:val="tytuł informacji"/>
    <w:basedOn w:val="Normalny"/>
    <w:rsid w:val="00633014"/>
    <w:pPr>
      <w:spacing w:after="0" w:line="240" w:lineRule="auto"/>
    </w:pPr>
    <w:rPr>
      <w:rFonts w:ascii="Fira Sans Extra Condensed SemiB" w:hAnsi="Fira Sans Extra Condensed SemiB"/>
      <w:color w:val="000000" w:themeColor="text1"/>
      <w:sz w:val="40"/>
      <w:szCs w:val="26"/>
    </w:rPr>
  </w:style>
  <w:style w:type="paragraph" w:customStyle="1" w:styleId="tekstzboku">
    <w:name w:val="tekst z boku"/>
    <w:basedOn w:val="Normalny"/>
    <w:qFormat/>
    <w:rsid w:val="008F74DF"/>
    <w:pPr>
      <w:spacing w:after="0"/>
    </w:pPr>
    <w:rPr>
      <w:rFonts w:eastAsia="Times New Roman" w:cs="Times New Roman"/>
      <w:bCs/>
      <w:color w:val="001D77"/>
      <w:sz w:val="18"/>
      <w:szCs w:val="18"/>
      <w:lang w:eastAsia="pl-PL"/>
    </w:rPr>
  </w:style>
  <w:style w:type="paragraph" w:customStyle="1" w:styleId="tytuwykresu">
    <w:name w:val="tytuł wykresu"/>
    <w:basedOn w:val="Normalny"/>
    <w:qFormat/>
    <w:rsid w:val="00E664C5"/>
    <w:rPr>
      <w:b/>
      <w:spacing w:val="-2"/>
      <w:sz w:val="18"/>
    </w:rPr>
  </w:style>
  <w:style w:type="paragraph" w:customStyle="1" w:styleId="tekstnaniebieskimtle">
    <w:name w:val="tekst na niebieskim tle"/>
    <w:basedOn w:val="Normalny"/>
    <w:qFormat/>
    <w:rsid w:val="00074DD8"/>
    <w:pPr>
      <w:spacing w:before="0" w:after="0" w:line="240" w:lineRule="auto"/>
    </w:pPr>
    <w:rPr>
      <w:sz w:val="20"/>
    </w:rPr>
  </w:style>
  <w:style w:type="character" w:customStyle="1" w:styleId="tlid-translation">
    <w:name w:val="tlid-translation"/>
    <w:basedOn w:val="Domylnaczcionkaakapitu"/>
    <w:rsid w:val="00A267EF"/>
  </w:style>
  <w:style w:type="character" w:styleId="UyteHipercze">
    <w:name w:val="FollowedHyperlink"/>
    <w:basedOn w:val="Domylnaczcionkaakapitu"/>
    <w:uiPriority w:val="99"/>
    <w:semiHidden/>
    <w:unhideWhenUsed/>
    <w:rsid w:val="000261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2331">
      <w:bodyDiv w:val="1"/>
      <w:marLeft w:val="0"/>
      <w:marRight w:val="0"/>
      <w:marTop w:val="0"/>
      <w:marBottom w:val="0"/>
      <w:divBdr>
        <w:top w:val="none" w:sz="0" w:space="0" w:color="auto"/>
        <w:left w:val="none" w:sz="0" w:space="0" w:color="auto"/>
        <w:bottom w:val="none" w:sz="0" w:space="0" w:color="auto"/>
        <w:right w:val="none" w:sz="0" w:space="0" w:color="auto"/>
      </w:divBdr>
    </w:div>
    <w:div w:id="500436768">
      <w:bodyDiv w:val="1"/>
      <w:marLeft w:val="0"/>
      <w:marRight w:val="0"/>
      <w:marTop w:val="0"/>
      <w:marBottom w:val="0"/>
      <w:divBdr>
        <w:top w:val="none" w:sz="0" w:space="0" w:color="auto"/>
        <w:left w:val="none" w:sz="0" w:space="0" w:color="auto"/>
        <w:bottom w:val="none" w:sz="0" w:space="0" w:color="auto"/>
        <w:right w:val="none" w:sz="0" w:space="0" w:color="auto"/>
      </w:divBdr>
    </w:div>
    <w:div w:id="562058934">
      <w:bodyDiv w:val="1"/>
      <w:marLeft w:val="0"/>
      <w:marRight w:val="0"/>
      <w:marTop w:val="0"/>
      <w:marBottom w:val="0"/>
      <w:divBdr>
        <w:top w:val="none" w:sz="0" w:space="0" w:color="auto"/>
        <w:left w:val="none" w:sz="0" w:space="0" w:color="auto"/>
        <w:bottom w:val="none" w:sz="0" w:space="0" w:color="auto"/>
        <w:right w:val="none" w:sz="0" w:space="0" w:color="auto"/>
      </w:divBdr>
    </w:div>
    <w:div w:id="1240558529">
      <w:bodyDiv w:val="1"/>
      <w:marLeft w:val="0"/>
      <w:marRight w:val="0"/>
      <w:marTop w:val="0"/>
      <w:marBottom w:val="0"/>
      <w:divBdr>
        <w:top w:val="none" w:sz="0" w:space="0" w:color="auto"/>
        <w:left w:val="none" w:sz="0" w:space="0" w:color="auto"/>
        <w:bottom w:val="none" w:sz="0" w:space="0" w:color="auto"/>
        <w:right w:val="none" w:sz="0" w:space="0" w:color="auto"/>
      </w:divBdr>
    </w:div>
    <w:div w:id="19067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yperlink" Target="https://stat.gov.pl/en/topics/culture-tourism-sport/tourism/occupancy-of-tourist-accommodation-establishments-in-poland-in-june-and-july-2020,5,21.html" TargetMode="External"/><Relationship Id="rId39" Type="http://schemas.openxmlformats.org/officeDocument/2006/relationships/footer" Target="footer3.xml"/><Relationship Id="rId21" Type="http://schemas.openxmlformats.org/officeDocument/2006/relationships/hyperlink" Target="http://warszawa.stat.gov.pl/en/" TargetMode="External"/><Relationship Id="rId34" Type="http://schemas.openxmlformats.org/officeDocument/2006/relationships/hyperlink" Target="https://stat.gov.pl/en/topics/culture-tourism-sport/tourism/occupancy-of-tourist-accommodation-establishments-in-the-first-quarter-of-2020,5,17.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hyperlink" Target="https://stat.gov.pl/en/topics/culture-tourism-sport/tourism/occupancy-of-tourist-accommodation-establishments-in-poland-in-march-and-april-2020,5,16.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image" Target="media/image8.png"/><Relationship Id="rId32" Type="http://schemas.openxmlformats.org/officeDocument/2006/relationships/hyperlink" Target="https://stat.gov.pl/en/topics/culture-tourism-sport/tourism/occupancy-of-tourist-accommodation-establishments-in-poland-in-june-and-july-2020,5,21.html" TargetMode="External"/><Relationship Id="rId37" Type="http://schemas.openxmlformats.org/officeDocument/2006/relationships/hyperlink" Target="https://bdl.stat.gov.pl/BDL/dane/podgrup/tema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image" Target="media/image7.png"/><Relationship Id="rId28" Type="http://schemas.openxmlformats.org/officeDocument/2006/relationships/hyperlink" Target="https://stat.gov.pl/en/topics/culture-tourism-sport/tourism/occupancy-of-tourist-accommodation-establishments-in-the-first-quarter-of-2020,5,17.html" TargetMode="External"/><Relationship Id="rId36" Type="http://schemas.openxmlformats.org/officeDocument/2006/relationships/hyperlink" Target="https://stat.gov.pl/en/topics/culture-tourism-sport/tourism/tourism-in-poland-in-the-face-of-covid-19-pandemic,6,1.html"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bdl.stat.gov.pl/BDL/dane/podgrup/tem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mailto:obslugaprasowa@stat.gov.pl" TargetMode="External"/><Relationship Id="rId27" Type="http://schemas.openxmlformats.org/officeDocument/2006/relationships/hyperlink" Target="https://stat.gov.pl/en/topics/culture-tourism-sport/tourism/occupancy-of-tourist-accommodation-establishments-in-poland-in-april-and-may-2020,5,19.html" TargetMode="External"/><Relationship Id="rId30" Type="http://schemas.openxmlformats.org/officeDocument/2006/relationships/hyperlink" Target="https://stat.gov.pl/en/topics/culture-tourism-sport/tourism/tourism-in-poland-in-the-face-of-covid-19-pandemic,6,1.html" TargetMode="External"/><Relationship Id="rId35" Type="http://schemas.openxmlformats.org/officeDocument/2006/relationships/hyperlink" Target="https://stat.gov.pl/en/topics/culture-tourism-sport/tourism/occupancy-of-tourist-accommodation-establishments-in-poland-in-march-and-april-2020,5,16.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0.emf"/><Relationship Id="rId17" Type="http://schemas.openxmlformats.org/officeDocument/2006/relationships/header" Target="header1.xml"/><Relationship Id="rId25" Type="http://schemas.openxmlformats.org/officeDocument/2006/relationships/image" Target="media/image9.png"/><Relationship Id="rId33" Type="http://schemas.openxmlformats.org/officeDocument/2006/relationships/hyperlink" Target="https://stat.gov.pl/en/topics/culture-tourism-sport/tourism/occupancy-of-tourist-accommodation-establishments-in-poland-in-april-and-may-2020,5,19.html"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756797287083655E-2"/>
          <c:y val="0.14824363449414185"/>
          <c:w val="0.88030796150481194"/>
          <c:h val="0.62928988043161282"/>
        </c:manualLayout>
      </c:layout>
      <c:barChart>
        <c:barDir val="col"/>
        <c:grouping val="clustered"/>
        <c:varyColors val="0"/>
        <c:ser>
          <c:idx val="0"/>
          <c:order val="0"/>
          <c:tx>
            <c:strRef>
              <c:f>'wykres w mln (ang)'!$B$5</c:f>
              <c:strCache>
                <c:ptCount val="1"/>
                <c:pt idx="0">
                  <c:v>2019</c:v>
                </c:pt>
              </c:strCache>
            </c:strRef>
          </c:tx>
          <c:spPr>
            <a:solidFill>
              <a:srgbClr val="2C387C"/>
            </a:solidFill>
            <a:ln>
              <a:noFill/>
            </a:ln>
            <a:effectLst/>
          </c:spPr>
          <c:invertIfNegative val="0"/>
          <c:cat>
            <c:strRef>
              <c:f>'wykres w mln (ang)'!$A$6:$A$11</c:f>
              <c:strCache>
                <c:ptCount val="6"/>
                <c:pt idx="0">
                  <c:v>January</c:v>
                </c:pt>
                <c:pt idx="1">
                  <c:v>February</c:v>
                </c:pt>
                <c:pt idx="2">
                  <c:v>March</c:v>
                </c:pt>
                <c:pt idx="3">
                  <c:v>April</c:v>
                </c:pt>
                <c:pt idx="4">
                  <c:v>May</c:v>
                </c:pt>
                <c:pt idx="5">
                  <c:v>June</c:v>
                </c:pt>
              </c:strCache>
            </c:strRef>
          </c:cat>
          <c:val>
            <c:numRef>
              <c:f>'wykres w mln (ang)'!$B$6:$B$11</c:f>
              <c:numCache>
                <c:formatCode>0.0</c:formatCode>
                <c:ptCount val="6"/>
                <c:pt idx="0">
                  <c:v>2.1241179999999997</c:v>
                </c:pt>
                <c:pt idx="1">
                  <c:v>2.1876799999999998</c:v>
                </c:pt>
                <c:pt idx="2">
                  <c:v>2.4018989999999998</c:v>
                </c:pt>
                <c:pt idx="3">
                  <c:v>2.4605600000000001</c:v>
                </c:pt>
                <c:pt idx="4">
                  <c:v>3.2806449999999998</c:v>
                </c:pt>
                <c:pt idx="5">
                  <c:v>3.605839</c:v>
                </c:pt>
              </c:numCache>
            </c:numRef>
          </c:val>
        </c:ser>
        <c:ser>
          <c:idx val="1"/>
          <c:order val="1"/>
          <c:tx>
            <c:strRef>
              <c:f>'wykres w mln (ang)'!$C$5</c:f>
              <c:strCache>
                <c:ptCount val="1"/>
                <c:pt idx="0">
                  <c:v>2020</c:v>
                </c:pt>
              </c:strCache>
            </c:strRef>
          </c:tx>
          <c:spPr>
            <a:solidFill>
              <a:srgbClr val="008C43"/>
            </a:solidFill>
            <a:ln>
              <a:noFill/>
            </a:ln>
            <a:effectLst/>
          </c:spPr>
          <c:invertIfNegative val="0"/>
          <c:cat>
            <c:strRef>
              <c:f>'wykres w mln (ang)'!$A$6:$A$11</c:f>
              <c:strCache>
                <c:ptCount val="6"/>
                <c:pt idx="0">
                  <c:v>January</c:v>
                </c:pt>
                <c:pt idx="1">
                  <c:v>February</c:v>
                </c:pt>
                <c:pt idx="2">
                  <c:v>March</c:v>
                </c:pt>
                <c:pt idx="3">
                  <c:v>April</c:v>
                </c:pt>
                <c:pt idx="4">
                  <c:v>May</c:v>
                </c:pt>
                <c:pt idx="5">
                  <c:v>June</c:v>
                </c:pt>
              </c:strCache>
            </c:strRef>
          </c:cat>
          <c:val>
            <c:numRef>
              <c:f>'wykres w mln (ang)'!$C$6:$C$11</c:f>
              <c:numCache>
                <c:formatCode>0.0</c:formatCode>
                <c:ptCount val="6"/>
                <c:pt idx="0">
                  <c:v>2.291506</c:v>
                </c:pt>
                <c:pt idx="1">
                  <c:v>2.378371</c:v>
                </c:pt>
                <c:pt idx="2">
                  <c:v>0.88136499999999995</c:v>
                </c:pt>
                <c:pt idx="3">
                  <c:v>8.6385999999999991E-2</c:v>
                </c:pt>
                <c:pt idx="4">
                  <c:v>0.38717699999999999</c:v>
                </c:pt>
                <c:pt idx="5">
                  <c:v>1.314252</c:v>
                </c:pt>
              </c:numCache>
            </c:numRef>
          </c:val>
        </c:ser>
        <c:dLbls>
          <c:showLegendKey val="0"/>
          <c:showVal val="0"/>
          <c:showCatName val="0"/>
          <c:showSerName val="0"/>
          <c:showPercent val="0"/>
          <c:showBubbleSize val="0"/>
        </c:dLbls>
        <c:gapWidth val="219"/>
        <c:overlap val="-27"/>
        <c:axId val="-1460016000"/>
        <c:axId val="-1460007840"/>
      </c:barChart>
      <c:catAx>
        <c:axId val="-146001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460007840"/>
        <c:crosses val="autoZero"/>
        <c:auto val="1"/>
        <c:lblAlgn val="ctr"/>
        <c:lblOffset val="100"/>
        <c:noMultiLvlLbl val="0"/>
      </c:catAx>
      <c:valAx>
        <c:axId val="-146000784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460016000"/>
        <c:crosses val="autoZero"/>
        <c:crossBetween val="between"/>
        <c:majorUnit val="0.5"/>
      </c:valAx>
      <c:spPr>
        <a:noFill/>
        <a:ln>
          <a:noFill/>
        </a:ln>
        <a:effectLst/>
      </c:spPr>
    </c:plotArea>
    <c:legend>
      <c:legendPos val="b"/>
      <c:layout>
        <c:manualLayout>
          <c:xMode val="edge"/>
          <c:yMode val="edge"/>
          <c:x val="0.36227790596769616"/>
          <c:y val="0.88493294008352053"/>
          <c:w val="0.3309995625546806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14260717410323E-2"/>
          <c:y val="0.15740740740740741"/>
          <c:w val="0.88030796150481194"/>
          <c:h val="0.62928988043161282"/>
        </c:manualLayout>
      </c:layout>
      <c:barChart>
        <c:barDir val="col"/>
        <c:grouping val="clustered"/>
        <c:varyColors val="0"/>
        <c:ser>
          <c:idx val="0"/>
          <c:order val="0"/>
          <c:tx>
            <c:strRef>
              <c:f>'wykres w mln (ang)'!$B$5</c:f>
              <c:strCache>
                <c:ptCount val="1"/>
                <c:pt idx="0">
                  <c:v>2019</c:v>
                </c:pt>
              </c:strCache>
            </c:strRef>
          </c:tx>
          <c:spPr>
            <a:solidFill>
              <a:srgbClr val="2C387C"/>
            </a:solidFill>
            <a:ln>
              <a:noFill/>
            </a:ln>
            <a:effectLst/>
          </c:spPr>
          <c:invertIfNegative val="0"/>
          <c:cat>
            <c:strRef>
              <c:f>'wykres w mln (ang)'!$A$6:$A$11</c:f>
              <c:strCache>
                <c:ptCount val="6"/>
                <c:pt idx="0">
                  <c:v>January</c:v>
                </c:pt>
                <c:pt idx="1">
                  <c:v>February</c:v>
                </c:pt>
                <c:pt idx="2">
                  <c:v>March</c:v>
                </c:pt>
                <c:pt idx="3">
                  <c:v>April</c:v>
                </c:pt>
                <c:pt idx="4">
                  <c:v>May</c:v>
                </c:pt>
                <c:pt idx="5">
                  <c:v>June</c:v>
                </c:pt>
              </c:strCache>
            </c:strRef>
          </c:cat>
          <c:val>
            <c:numRef>
              <c:f>'wykres w mln (ang)'!$B$6:$B$11</c:f>
              <c:numCache>
                <c:formatCode>0.0</c:formatCode>
                <c:ptCount val="6"/>
                <c:pt idx="0">
                  <c:v>5.4310240000000007</c:v>
                </c:pt>
                <c:pt idx="1">
                  <c:v>5.7235670000000001</c:v>
                </c:pt>
                <c:pt idx="2">
                  <c:v>5.6657290000000007</c:v>
                </c:pt>
                <c:pt idx="3">
                  <c:v>5.9583349999999999</c:v>
                </c:pt>
                <c:pt idx="4">
                  <c:v>7.8895290000000005</c:v>
                </c:pt>
                <c:pt idx="5">
                  <c:v>9.345362999999999</c:v>
                </c:pt>
              </c:numCache>
            </c:numRef>
          </c:val>
        </c:ser>
        <c:ser>
          <c:idx val="1"/>
          <c:order val="1"/>
          <c:tx>
            <c:strRef>
              <c:f>'wykres w mln (ang)'!$C$5</c:f>
              <c:strCache>
                <c:ptCount val="1"/>
                <c:pt idx="0">
                  <c:v>2020</c:v>
                </c:pt>
              </c:strCache>
            </c:strRef>
          </c:tx>
          <c:spPr>
            <a:solidFill>
              <a:srgbClr val="008C43"/>
            </a:solidFill>
            <a:ln>
              <a:noFill/>
            </a:ln>
            <a:effectLst/>
          </c:spPr>
          <c:invertIfNegative val="0"/>
          <c:cat>
            <c:strRef>
              <c:f>'wykres w mln (ang)'!$A$6:$A$11</c:f>
              <c:strCache>
                <c:ptCount val="6"/>
                <c:pt idx="0">
                  <c:v>January</c:v>
                </c:pt>
                <c:pt idx="1">
                  <c:v>February</c:v>
                </c:pt>
                <c:pt idx="2">
                  <c:v>March</c:v>
                </c:pt>
                <c:pt idx="3">
                  <c:v>April</c:v>
                </c:pt>
                <c:pt idx="4">
                  <c:v>May</c:v>
                </c:pt>
                <c:pt idx="5">
                  <c:v>June</c:v>
                </c:pt>
              </c:strCache>
            </c:strRef>
          </c:cat>
          <c:val>
            <c:numRef>
              <c:f>'wykres w mln (ang)'!$C$6:$C$11</c:f>
              <c:numCache>
                <c:formatCode>0.0</c:formatCode>
                <c:ptCount val="6"/>
                <c:pt idx="0">
                  <c:v>5.8889840000000007</c:v>
                </c:pt>
                <c:pt idx="1">
                  <c:v>6.1995269999999998</c:v>
                </c:pt>
                <c:pt idx="2">
                  <c:v>2.451511</c:v>
                </c:pt>
                <c:pt idx="3">
                  <c:v>0.32618900000000001</c:v>
                </c:pt>
                <c:pt idx="4">
                  <c:v>0.92523699999999998</c:v>
                </c:pt>
                <c:pt idx="5">
                  <c:v>3.6340490000000001</c:v>
                </c:pt>
              </c:numCache>
            </c:numRef>
          </c:val>
        </c:ser>
        <c:dLbls>
          <c:showLegendKey val="0"/>
          <c:showVal val="0"/>
          <c:showCatName val="0"/>
          <c:showSerName val="0"/>
          <c:showPercent val="0"/>
          <c:showBubbleSize val="0"/>
        </c:dLbls>
        <c:gapWidth val="219"/>
        <c:overlap val="-27"/>
        <c:axId val="-1460013824"/>
        <c:axId val="-1460006208"/>
      </c:barChart>
      <c:catAx>
        <c:axId val="-146001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460006208"/>
        <c:crosses val="autoZero"/>
        <c:auto val="1"/>
        <c:lblAlgn val="ctr"/>
        <c:lblOffset val="100"/>
        <c:noMultiLvlLbl val="0"/>
      </c:catAx>
      <c:valAx>
        <c:axId val="-1460006208"/>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crossAx val="-1460013824"/>
        <c:crosses val="autoZero"/>
        <c:crossBetween val="between"/>
        <c:majorUnit val="1"/>
      </c:valAx>
      <c:spPr>
        <a:noFill/>
        <a:ln>
          <a:noFill/>
        </a:ln>
        <a:effectLst/>
      </c:spPr>
    </c:plotArea>
    <c:legend>
      <c:legendPos val="b"/>
      <c:layout>
        <c:manualLayout>
          <c:xMode val="edge"/>
          <c:yMode val="edge"/>
          <c:x val="0.3622779965004374"/>
          <c:y val="0.88951484157263849"/>
          <c:w val="0.3309995625546806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ira Sans" panose="020B0503050000020004" pitchFamily="34" charset="0"/>
              <a:ea typeface="Fira Sans" panose="020B0503050000020004" pitchFamily="34" charset="0"/>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0.01198</cdr:x>
      <cdr:y>0.01965</cdr:y>
    </cdr:from>
    <cdr:to>
      <cdr:x>0.07735</cdr:x>
      <cdr:y>0.10923</cdr:y>
    </cdr:to>
    <cdr:sp macro="" textlink="">
      <cdr:nvSpPr>
        <cdr:cNvPr id="2" name="pole tekstowe 1"/>
        <cdr:cNvSpPr txBox="1"/>
      </cdr:nvSpPr>
      <cdr:spPr>
        <a:xfrm xmlns:a="http://schemas.openxmlformats.org/drawingml/2006/main">
          <a:off x="59916" y="54472"/>
          <a:ext cx="326932" cy="24829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900">
              <a:latin typeface="Fira Sans" panose="020B0503050000020004" pitchFamily="34" charset="0"/>
              <a:ea typeface="Fira Sans" panose="020B0503050000020004" pitchFamily="34" charset="0"/>
            </a:rPr>
            <a:t>mln</a:t>
          </a:r>
        </a:p>
      </cdr:txBody>
    </cdr:sp>
  </cdr:relSizeAnchor>
</c:userShapes>
</file>

<file path=word/drawings/drawing2.xml><?xml version="1.0" encoding="utf-8"?>
<c:userShapes xmlns:c="http://schemas.openxmlformats.org/drawingml/2006/chart">
  <cdr:relSizeAnchor xmlns:cdr="http://schemas.openxmlformats.org/drawingml/2006/chartDrawing">
    <cdr:from>
      <cdr:x>0.01576</cdr:x>
      <cdr:y>0.03227</cdr:y>
    </cdr:from>
    <cdr:to>
      <cdr:x>0.08113</cdr:x>
      <cdr:y>0.12185</cdr:y>
    </cdr:to>
    <cdr:sp macro="" textlink="">
      <cdr:nvSpPr>
        <cdr:cNvPr id="2" name="pole tekstowe 1"/>
        <cdr:cNvSpPr txBox="1"/>
      </cdr:nvSpPr>
      <cdr:spPr>
        <a:xfrm xmlns:a="http://schemas.openxmlformats.org/drawingml/2006/main">
          <a:off x="80829" y="89445"/>
          <a:ext cx="335234" cy="24829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900">
              <a:latin typeface="Fira Sans" panose="020B0503050000020004" pitchFamily="34" charset="0"/>
              <a:ea typeface="Fira Sans" panose="020B0503050000020004" pitchFamily="34" charset="0"/>
            </a:rPr>
            <a:t>mln</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ra">
      <a:majorFont>
        <a:latin typeface="Fira Sans Medium"/>
        <a:ea typeface=""/>
        <a:cs typeface=""/>
      </a:majorFont>
      <a:minorFont>
        <a:latin typeface="Fira Sans Light"/>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atyka xmlns="b5698c14-9734-4c2e-b0a6-c0f0e0420a38">07 - Informacje sygnalne</Tematyka>
    <Kolejno_x015b__x0107_ xmlns="30d47203-49ec-4c8c-a442-62231931aabb">3</Kolejno_x015b__x0107_>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DF1BA9951007438FCA488A6A01397F" ma:contentTypeVersion="2" ma:contentTypeDescription="Utwórz nowy dokument." ma:contentTypeScope="" ma:versionID="61828af194c162a3f8ba12efac41088b">
  <xsd:schema xmlns:xsd="http://www.w3.org/2001/XMLSchema" xmlns:xs="http://www.w3.org/2001/XMLSchema" xmlns:p="http://schemas.microsoft.com/office/2006/metadata/properties" xmlns:ns2="b5698c14-9734-4c2e-b0a6-c0f0e0420a38" xmlns:ns3="30d47203-49ec-4c8c-a442-62231931aabb" targetNamespace="http://schemas.microsoft.com/office/2006/metadata/properties" ma:root="true" ma:fieldsID="496f7d50f109622d7e203c236940c321" ns2:_="" ns3:_="">
    <xsd:import namespace="b5698c14-9734-4c2e-b0a6-c0f0e0420a38"/>
    <xsd:import namespace="30d47203-49ec-4c8c-a442-62231931aabb"/>
    <xsd:element name="properties">
      <xsd:complexType>
        <xsd:sequence>
          <xsd:element name="documentManagement">
            <xsd:complexType>
              <xsd:all>
                <xsd:element ref="ns2:Tematyka" minOccurs="0"/>
                <xsd:element ref="ns3:Kolejno_x015b__x010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98c14-9734-4c2e-b0a6-c0f0e0420a38" elementFormDefault="qualified">
    <xsd:import namespace="http://schemas.microsoft.com/office/2006/documentManagement/types"/>
    <xsd:import namespace="http://schemas.microsoft.com/office/infopath/2007/PartnerControls"/>
    <xsd:element name="Tematyka" ma:index="2" nillable="true" ma:displayName=":" ma:description="Należy wybrać tematykę pliku" ma:format="Dropdown" ma:internalName="Tematyka">
      <xsd:simpleType>
        <xsd:restriction base="dms:Choice">
          <xsd:enumeration value="00 - Organizacja Systemu Publikacyjnego"/>
          <xsd:enumeration value="00 - Zasady - skład i typografia"/>
          <xsd:enumeration value="01 - Analizy statystyczne"/>
          <xsd:enumeration value="02 - Informacje statystyczne"/>
          <xsd:enumeration value="03 - Roczniki statystyczne"/>
          <xsd:enumeration value="04 - Foldery i publikacje okolicznościowe"/>
          <xsd:enumeration value="05 - Prace eksperymentalne"/>
          <xsd:enumeration value="06 - Metodologia badań statystycznych"/>
          <xsd:enumeration value="07 - Informacje sygnalne"/>
          <xsd:enumeration value="08 - Archiwum"/>
          <xsd:enumeration value="10 - Księga Identyfikacji Wizualnej"/>
        </xsd:restriction>
      </xsd:simpleType>
    </xsd:element>
  </xsd:schema>
  <xsd:schema xmlns:xsd="http://www.w3.org/2001/XMLSchema" xmlns:xs="http://www.w3.org/2001/XMLSchema" xmlns:dms="http://schemas.microsoft.com/office/2006/documentManagement/types" xmlns:pc="http://schemas.microsoft.com/office/infopath/2007/PartnerControls" targetNamespace="30d47203-49ec-4c8c-a442-62231931aabb" elementFormDefault="qualified">
    <xsd:import namespace="http://schemas.microsoft.com/office/2006/documentManagement/types"/>
    <xsd:import namespace="http://schemas.microsoft.com/office/infopath/2007/PartnerControls"/>
    <xsd:element name="Kolejno_x015b__x0107_" ma:index="3" nillable="true" ma:displayName="Kolejność" ma:decimals="0" ma:description="sortowanie plików" ma:internalName="Kolejno_x015b__x0107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114CA-DBBE-451F-B419-6F6EE9885D58}">
  <ds:schemaRefs>
    <ds:schemaRef ds:uri="http://schemas.microsoft.com/sharepoint/v3/contenttype/forms"/>
  </ds:schemaRefs>
</ds:datastoreItem>
</file>

<file path=customXml/itemProps2.xml><?xml version="1.0" encoding="utf-8"?>
<ds:datastoreItem xmlns:ds="http://schemas.openxmlformats.org/officeDocument/2006/customXml" ds:itemID="{B5F1FEE7-CF22-416E-A78C-C51E71C03A36}">
  <ds:schemaRefs>
    <ds:schemaRef ds:uri="http://schemas.microsoft.com/office/2006/metadata/properties"/>
    <ds:schemaRef ds:uri="http://schemas.microsoft.com/office/infopath/2007/PartnerControls"/>
    <ds:schemaRef ds:uri="b5698c14-9734-4c2e-b0a6-c0f0e0420a38"/>
    <ds:schemaRef ds:uri="30d47203-49ec-4c8c-a442-62231931aabb"/>
  </ds:schemaRefs>
</ds:datastoreItem>
</file>

<file path=customXml/itemProps3.xml><?xml version="1.0" encoding="utf-8"?>
<ds:datastoreItem xmlns:ds="http://schemas.openxmlformats.org/officeDocument/2006/customXml" ds:itemID="{4BE97C69-7A3B-4B22-9393-B6821DB93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98c14-9734-4c2e-b0a6-c0f0e0420a38"/>
    <ds:schemaRef ds:uri="30d47203-49ec-4c8c-a442-62231931a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692BF-496D-464D-8238-89523990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1484</Words>
  <Characters>8904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Zawistowska Beata</dc:creator>
  <cp:keywords/>
  <dc:description/>
  <cp:lastModifiedBy>Zadorożny Łukasz</cp:lastModifiedBy>
  <cp:revision>25</cp:revision>
  <cp:lastPrinted>2017-11-07T13:05:00Z</cp:lastPrinted>
  <dcterms:created xsi:type="dcterms:W3CDTF">2020-08-07T06:16:00Z</dcterms:created>
  <dcterms:modified xsi:type="dcterms:W3CDTF">2020-10-05T06:09:00Z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0x01010044DF1BA9951007438FCA488A6A01397F</vt:lpwstr>
  </property>
</Properties>
</file>